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CC463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55B7C150"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招标代理机构选择评分细则表</w:t>
      </w:r>
    </w:p>
    <w:tbl>
      <w:tblPr>
        <w:tblStyle w:val="3"/>
        <w:tblW w:w="93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0"/>
        <w:gridCol w:w="720"/>
        <w:gridCol w:w="4289"/>
        <w:gridCol w:w="1680"/>
      </w:tblGrid>
      <w:tr w14:paraId="0F20A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8A0F4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序号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CD174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评分因素及权重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E5031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分值</w:t>
            </w:r>
          </w:p>
        </w:tc>
        <w:tc>
          <w:tcPr>
            <w:tcW w:w="4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04183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评分标准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E9E04A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备注</w:t>
            </w:r>
          </w:p>
        </w:tc>
      </w:tr>
      <w:tr w14:paraId="4CB75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8DF6E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4B15E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报价</w:t>
            </w:r>
          </w:p>
          <w:p w14:paraId="375A5C2A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30%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311DA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30</w:t>
            </w:r>
          </w:p>
        </w:tc>
        <w:tc>
          <w:tcPr>
            <w:tcW w:w="4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ED188">
            <w:pPr>
              <w:spacing w:line="320" w:lineRule="exact"/>
              <w:jc w:val="left"/>
              <w:rPr>
                <w:rFonts w:hint="eastAsia"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1.投标人参照国家发改委计价格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eastAsia="zh-CN"/>
              </w:rPr>
              <w:t>〔2002〕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1980 号</w:t>
            </w:r>
          </w:p>
          <w:p w14:paraId="75D5C104">
            <w:pPr>
              <w:spacing w:line="320" w:lineRule="exact"/>
              <w:jc w:val="left"/>
              <w:rPr>
                <w:rFonts w:hint="eastAsia"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文件规定的标准下浮报价（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最低下浮率为20%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 xml:space="preserve">）。 </w:t>
            </w:r>
          </w:p>
          <w:p w14:paraId="4E00BC6C">
            <w:pPr>
              <w:spacing w:line="320" w:lineRule="exact"/>
              <w:jc w:val="left"/>
              <w:rPr>
                <w:rFonts w:hint="eastAsia"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2.投标报价计分方法：以下浮率最高者得分最高，</w:t>
            </w:r>
          </w:p>
          <w:p w14:paraId="421D5B6D">
            <w:pPr>
              <w:spacing w:line="320" w:lineRule="exact"/>
              <w:jc w:val="left"/>
              <w:rPr>
                <w:rFonts w:hint="eastAsia"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每少下浮一个百分点扣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分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eastAsia="zh-CN"/>
              </w:rPr>
              <w:t>（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不足一百分点按一个百分点计算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eastAsia="zh-CN"/>
              </w:rPr>
              <w:t>）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 xml:space="preserve">。 </w:t>
            </w:r>
          </w:p>
          <w:p w14:paraId="6521940E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3.报价下浮超过 20%，则报价分值为 0 分。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05882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7E9DA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776FD6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E382F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执业能力</w:t>
            </w:r>
          </w:p>
          <w:p w14:paraId="5D2D564D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2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0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840C1"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Cs w:val="21"/>
                <w:lang w:eastAsia="zh-CN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2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0</w:t>
            </w:r>
          </w:p>
        </w:tc>
        <w:tc>
          <w:tcPr>
            <w:tcW w:w="4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A9C84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1.机构从业人员（10分）：10人及以上得10分，5-9人得5-9分，5人以下不得分；</w:t>
            </w:r>
          </w:p>
          <w:p w14:paraId="150E49E2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2.项目负责人配备（10分）：项目负责人具有本科或以上学历得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分、专科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分；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B66EC">
            <w:pPr>
              <w:spacing w:line="320" w:lineRule="exact"/>
              <w:jc w:val="center"/>
              <w:rPr>
                <w:rFonts w:hint="default" w:ascii="方正小标宋简体" w:hAnsi="方正小标宋简体" w:eastAsia="方正小标宋简体" w:cs="方正小标宋简体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提供证明材料</w:t>
            </w:r>
          </w:p>
        </w:tc>
      </w:tr>
      <w:tr w14:paraId="5324F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CF53B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F37B9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代理业绩</w:t>
            </w:r>
          </w:p>
          <w:p w14:paraId="6C23440A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15%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C8929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15</w:t>
            </w:r>
          </w:p>
        </w:tc>
        <w:tc>
          <w:tcPr>
            <w:tcW w:w="4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DBE02">
            <w:pPr>
              <w:spacing w:line="320" w:lineRule="exact"/>
              <w:jc w:val="both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以近一年内代理业绩为准（时间以投标截止日为准），每提供1个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得3分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。（提供中标通知书或合同等证明材料）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D2361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当年新成立的公司，不提供代理业绩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得基础分。</w:t>
            </w:r>
          </w:p>
        </w:tc>
      </w:tr>
      <w:tr w14:paraId="76BB3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D5C38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43275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招标代理方案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30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2C1CB">
            <w:pPr>
              <w:spacing w:line="320" w:lineRule="exact"/>
              <w:jc w:val="center"/>
              <w:rPr>
                <w:rFonts w:hint="default" w:ascii="仿宋_GB2312" w:hAnsi="方正小标宋简体" w:eastAsia="仿宋_GB2312" w:cs="方正小标宋简体"/>
                <w:szCs w:val="21"/>
                <w:lang w:val="en-US" w:eastAsia="zh-CN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30</w:t>
            </w:r>
          </w:p>
        </w:tc>
        <w:tc>
          <w:tcPr>
            <w:tcW w:w="4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66711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  <w:lang w:eastAsia="zh-CN"/>
              </w:rPr>
              <w:t>投标人应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着重从如何保证招投标的合法合规、公平公正，如何保证招投标工作质量和工作水平方面编制招标代理服务方案。包括但不仅限于如下内容：需求论证组织；招标文件制作质量；招投标程序合法合规；开标过程公平公正；防范围标、串标行为；质疑投诉防范和处理；招标资料收集、保存、移交、协助电子平台项目生成等。</w:t>
            </w:r>
          </w:p>
          <w:p w14:paraId="3DF751CC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对方案进行横向比较综合评分，优秀得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25-30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分，良好得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24-20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分，一般得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19-15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分，差得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15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分，未提供得0分。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E7B8A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0AB28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9265B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3DCD4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投标文件规范性</w:t>
            </w:r>
          </w:p>
          <w:p w14:paraId="371233CC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5%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4D98D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5</w:t>
            </w:r>
          </w:p>
        </w:tc>
        <w:tc>
          <w:tcPr>
            <w:tcW w:w="4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4F016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投标文件制作规范，没有细微偏差情形的得满分；有一项细微偏差扣1分；直到该项分值扣完为止。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BBEE4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</w:tbl>
    <w:p w14:paraId="5B3D1724">
      <w:pPr>
        <w:spacing w:line="579" w:lineRule="exact"/>
        <w:ind w:firstLine="420" w:firstLineChars="200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Cs w:val="21"/>
        </w:rPr>
        <w:t>备注：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>各评分专家根据评分标准在评分中可保留小数点后一位。</w:t>
      </w:r>
    </w:p>
    <w:p w14:paraId="6855993B">
      <w:pPr>
        <w:bidi w:val="0"/>
        <w:ind w:firstLine="372" w:firstLineChars="0"/>
        <w:jc w:val="left"/>
        <w:rPr>
          <w:rFonts w:hint="default"/>
          <w:lang w:val="en-US" w:eastAsia="zh-CN"/>
        </w:rPr>
      </w:pPr>
    </w:p>
    <w:p w14:paraId="7956E8D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524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line="440" w:lineRule="atLeast"/>
      <w:jc w:val="center"/>
      <w:outlineLvl w:val="0"/>
    </w:pPr>
    <w:rPr>
      <w:rFonts w:ascii="宋体" w:hAnsi="宋体" w:eastAsia="宋体" w:cs="Calibri"/>
      <w:b/>
      <w:bCs/>
      <w:color w:val="000000"/>
      <w:kern w:val="44"/>
      <w:sz w:val="36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2025-12-15T02:53:00Z</dcterms:created>
  <dc:creator>Administrator</dc:creator>
  <cp:lastModifiedBy>土猴儿</cp:lastModifiedBy>
  <dcterms:modified xsi:type="dcterms:W3CDTF">2025-12-15T02:53:02Z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1AA3BFB2EC4F4725B7F49E265E7A7211_12</vt:lpwstr>
  </property>
</Properties>
</file>