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637D3F">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b w:val="0"/>
          <w:i w:val="0"/>
          <w:caps w:val="0"/>
          <w:color w:val="3D3D3D"/>
          <w:spacing w:val="0"/>
          <w:w w:val="100"/>
          <w:sz w:val="32"/>
          <w:szCs w:val="32"/>
          <w:lang w:val="en-US" w:eastAsia="zh-CN"/>
        </w:rPr>
      </w:pPr>
      <w:r>
        <w:rPr>
          <w:rFonts w:hint="eastAsia" w:ascii="黑体" w:hAnsi="黑体" w:eastAsia="黑体" w:cs="黑体"/>
          <w:b w:val="0"/>
          <w:i w:val="0"/>
          <w:caps w:val="0"/>
          <w:color w:val="3D3D3D"/>
          <w:spacing w:val="0"/>
          <w:w w:val="100"/>
          <w:sz w:val="32"/>
          <w:szCs w:val="32"/>
          <w:lang w:eastAsia="zh-CN"/>
        </w:rPr>
        <w:t>附件</w:t>
      </w:r>
      <w:r>
        <w:rPr>
          <w:rFonts w:hint="eastAsia" w:ascii="黑体" w:hAnsi="黑体" w:eastAsia="黑体" w:cs="黑体"/>
          <w:b w:val="0"/>
          <w:i w:val="0"/>
          <w:caps w:val="0"/>
          <w:color w:val="3D3D3D"/>
          <w:spacing w:val="0"/>
          <w:w w:val="100"/>
          <w:sz w:val="32"/>
          <w:szCs w:val="32"/>
          <w:lang w:val="en-US" w:eastAsia="zh-CN"/>
        </w:rPr>
        <w:t>1</w:t>
      </w:r>
    </w:p>
    <w:p w14:paraId="2D35FC87">
      <w:pPr>
        <w:spacing w:line="700" w:lineRule="exact"/>
        <w:jc w:val="center"/>
        <w:rPr>
          <w:rFonts w:hint="eastAsia" w:ascii="方正小标宋简体" w:hAnsi="方正小标宋简体" w:eastAsia="方正小标宋简体" w:cs="方正小标宋简体"/>
          <w:color w:val="000000"/>
          <w:sz w:val="44"/>
          <w:szCs w:val="44"/>
        </w:rPr>
      </w:pPr>
    </w:p>
    <w:p w14:paraId="4F66922B">
      <w:pPr>
        <w:spacing w:line="700" w:lineRule="exact"/>
        <w:jc w:val="center"/>
        <w:rPr>
          <w:rFonts w:hint="eastAsia" w:ascii="方正小标宋简体" w:hAnsi="方正小标宋简体" w:eastAsia="方正小标宋简体" w:cs="方正小标宋简体"/>
          <w:color w:val="000000"/>
          <w:w w:val="90"/>
          <w:sz w:val="44"/>
          <w:szCs w:val="44"/>
        </w:rPr>
      </w:pPr>
      <w:r>
        <w:rPr>
          <w:rFonts w:hint="eastAsia" w:ascii="方正小标宋简体" w:hAnsi="方正小标宋简体" w:eastAsia="方正小标宋简体" w:cs="方正小标宋简体"/>
          <w:color w:val="000000"/>
          <w:w w:val="90"/>
          <w:sz w:val="44"/>
          <w:szCs w:val="44"/>
        </w:rPr>
        <w:t>乐山市“十五五”服务业发展规划比选工作方案</w:t>
      </w:r>
    </w:p>
    <w:p w14:paraId="23B9AA24">
      <w:pPr>
        <w:tabs>
          <w:tab w:val="left" w:pos="987"/>
        </w:tabs>
        <w:spacing w:line="600" w:lineRule="exact"/>
        <w:ind w:firstLine="640" w:firstLineChars="200"/>
        <w:rPr>
          <w:rFonts w:hint="eastAsia" w:ascii="宋体" w:hAnsi="宋体" w:cs="宋体"/>
          <w:color w:val="000000"/>
          <w:sz w:val="32"/>
          <w:szCs w:val="32"/>
        </w:rPr>
      </w:pPr>
    </w:p>
    <w:p w14:paraId="7D29F3A2">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根据《乐山市人民政府办公室关于做好</w:t>
      </w:r>
      <w:bookmarkStart w:id="1" w:name="_GoBack"/>
      <w:bookmarkEnd w:id="1"/>
      <w:r>
        <w:rPr>
          <w:rFonts w:hint="eastAsia" w:ascii="仿宋_GB2312" w:hAnsi="仿宋_GB2312" w:eastAsia="仿宋_GB2312" w:cs="仿宋_GB2312"/>
          <w:color w:val="000000"/>
          <w:sz w:val="32"/>
          <w:szCs w:val="32"/>
        </w:rPr>
        <w:t>“十五五”规划编制工作的通知》要求，市商务局负责《乐山市“十五五”服务业发展规划》（以下简称规划）编制工作。为确保编制工作水平，扎实做好规划编制工作，现向社会公开征集、择优确定1家单位作为《乐山市“十五五”服务业发展规划》编制单位。</w:t>
      </w:r>
    </w:p>
    <w:p w14:paraId="7DBB86B0">
      <w:pPr>
        <w:tabs>
          <w:tab w:val="left" w:pos="3747"/>
        </w:tabs>
        <w:spacing w:line="560" w:lineRule="exact"/>
        <w:ind w:firstLine="640" w:firstLineChars="200"/>
        <w:rPr>
          <w:rFonts w:hint="eastAsia" w:ascii="方正黑体简体" w:hAnsi="方正黑体简体" w:eastAsia="方正黑体简体" w:cs="方正黑体简体"/>
          <w:color w:val="000000"/>
          <w:sz w:val="32"/>
          <w:szCs w:val="32"/>
        </w:rPr>
      </w:pPr>
      <w:r>
        <w:rPr>
          <w:rFonts w:hint="eastAsia" w:ascii="黑体" w:hAnsi="黑体" w:eastAsia="黑体" w:cs="黑体"/>
          <w:color w:val="000000"/>
          <w:sz w:val="32"/>
          <w:szCs w:val="32"/>
        </w:rPr>
        <w:t>一、项目概况</w:t>
      </w:r>
      <w:r>
        <w:rPr>
          <w:rFonts w:hint="eastAsia" w:ascii="方正黑体简体" w:hAnsi="方正黑体简体" w:eastAsia="方正黑体简体" w:cs="方正黑体简体"/>
          <w:color w:val="000000"/>
          <w:sz w:val="32"/>
          <w:szCs w:val="32"/>
        </w:rPr>
        <w:tab/>
      </w:r>
    </w:p>
    <w:p w14:paraId="77B3DE7C">
      <w:pPr>
        <w:spacing w:line="560" w:lineRule="exact"/>
        <w:ind w:firstLine="643" w:firstLineChars="200"/>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(一)项目名称</w:t>
      </w:r>
    </w:p>
    <w:p w14:paraId="42CD85B7">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《乐山市“十五五”服务业发展规划》编制项目</w:t>
      </w:r>
    </w:p>
    <w:p w14:paraId="52315A53">
      <w:pPr>
        <w:spacing w:line="560" w:lineRule="exact"/>
        <w:ind w:firstLine="643" w:firstLineChars="200"/>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（二）采购单位</w:t>
      </w:r>
    </w:p>
    <w:p w14:paraId="6A44F0E0">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乐山市商务局</w:t>
      </w:r>
    </w:p>
    <w:p w14:paraId="348AA0CB">
      <w:pPr>
        <w:spacing w:line="560" w:lineRule="exact"/>
        <w:ind w:firstLine="643" w:firstLineChars="200"/>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（三）成果要求</w:t>
      </w:r>
    </w:p>
    <w:p w14:paraId="2202BCB4">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编制完成《乐山市“十五五”服务业发展规划》,内容须符合乐山市“十五五”服务业发展规划有关要求,包括但不仅限于以下内容:</w:t>
      </w:r>
    </w:p>
    <w:p w14:paraId="1551C1D4">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1.总结“十四五”期间乐山市服务业发展成效与存在问题，明确“十五五”期间乐山市现代服务业发展的基础与环境；</w:t>
      </w:r>
    </w:p>
    <w:p w14:paraId="33259BD8">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2.明确“十五五”期间乐山市服务业发展的总体思路、基本原则、发展目标等；</w:t>
      </w:r>
    </w:p>
    <w:p w14:paraId="5939E16F">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3.提出“十五五”期间乐山市服务业发展的重点产业、重点任务、重大项目等；</w:t>
      </w:r>
    </w:p>
    <w:p w14:paraId="2EFF209B">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4.根据“十五五”期间乐山市服务业的发展方向，提出产业发展的空间布局，梳理出服务业重大项目清单；</w:t>
      </w:r>
    </w:p>
    <w:p w14:paraId="36E87318">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5.明确“十五五”期间乐山市服务业发展的保障措施。</w:t>
      </w:r>
    </w:p>
    <w:p w14:paraId="21B60980">
      <w:pPr>
        <w:spacing w:line="560" w:lineRule="exact"/>
        <w:ind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二、报名对象基本要求</w:t>
      </w:r>
    </w:p>
    <w:p w14:paraId="367B3792">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1.高校(含党校)、社科院和国内外专业研究、咨询机构。本次不接受个人报名。</w:t>
      </w:r>
    </w:p>
    <w:p w14:paraId="2C1E5D69">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2.报名单位必须具备独立开展所投编制项目的基本研究条件和能力，具有相关研究经验与研究业绩。</w:t>
      </w:r>
    </w:p>
    <w:p w14:paraId="672C2B64">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3.有依法缴纳税收和社会保障资金的良好记录。</w:t>
      </w:r>
    </w:p>
    <w:p w14:paraId="2AD32DD4">
      <w:pPr>
        <w:spacing w:line="560" w:lineRule="exact"/>
        <w:ind w:firstLine="640" w:firstLineChars="200"/>
        <w:rPr>
          <w:rFonts w:hint="eastAsia" w:ascii="仿宋_GB2312" w:hAnsi="仿宋_GB2312" w:eastAsia="仿宋_GB2312" w:cs="仿宋_GB2312"/>
          <w:color w:val="000000"/>
          <w:sz w:val="32"/>
          <w:szCs w:val="32"/>
        </w:rPr>
      </w:pPr>
      <w:r>
        <w:rPr>
          <w:rFonts w:ascii="仿宋_GB2312" w:hAnsi="仿宋_GB2312" w:eastAsia="仿宋_GB2312" w:cs="仿宋_GB2312"/>
          <w:color w:val="000000"/>
          <w:sz w:val="32"/>
          <w:szCs w:val="32"/>
        </w:rPr>
        <w:t>4</w:t>
      </w:r>
      <w:r>
        <w:rPr>
          <w:rFonts w:hint="eastAsia" w:ascii="仿宋_GB2312" w:hAnsi="仿宋_GB2312" w:eastAsia="仿宋_GB2312" w:cs="仿宋_GB2312"/>
          <w:color w:val="000000"/>
          <w:sz w:val="32"/>
          <w:szCs w:val="32"/>
        </w:rPr>
        <w:t>.参加比选活动的单位在前三年内,没有违法违纪记录。</w:t>
      </w:r>
    </w:p>
    <w:p w14:paraId="171E520C">
      <w:pPr>
        <w:spacing w:line="560" w:lineRule="exact"/>
        <w:ind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三、经费额度</w:t>
      </w:r>
    </w:p>
    <w:p w14:paraId="14F550B9">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本次编制经费不超过25万元（含税），超过最高限价的报价为无效报价。</w:t>
      </w:r>
    </w:p>
    <w:p w14:paraId="6BDA12F6">
      <w:pPr>
        <w:spacing w:line="560" w:lineRule="exact"/>
        <w:ind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四、总体时间进度安排</w:t>
      </w:r>
    </w:p>
    <w:p w14:paraId="093411F4">
      <w:pPr>
        <w:spacing w:line="560" w:lineRule="exact"/>
        <w:ind w:firstLine="643" w:firstLineChars="200"/>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（一）比选公告发布</w:t>
      </w:r>
    </w:p>
    <w:p w14:paraId="5FBA8D93">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在乐山市商务局网站（https://lsswj.leshan.gov.cn）发布比选公告及相关信息。</w:t>
      </w:r>
    </w:p>
    <w:p w14:paraId="1EADCA51">
      <w:pPr>
        <w:spacing w:line="560" w:lineRule="exact"/>
        <w:ind w:firstLine="640" w:firstLineChars="200"/>
        <w:rPr>
          <w:rFonts w:hint="eastAsia" w:ascii="楷体_GB2312" w:hAnsi="楷体_GB2312" w:eastAsia="楷体_GB2312" w:cs="楷体_GB2312"/>
          <w:b/>
          <w:bCs/>
          <w:color w:val="000000"/>
          <w:sz w:val="32"/>
          <w:szCs w:val="32"/>
        </w:rPr>
      </w:pPr>
      <w:r>
        <w:rPr>
          <w:rFonts w:hint="eastAsia" w:ascii="仿宋_GB2312" w:hAnsi="仿宋_GB2312" w:eastAsia="仿宋_GB2312" w:cs="仿宋_GB2312"/>
          <w:color w:val="000000"/>
          <w:sz w:val="32"/>
          <w:szCs w:val="32"/>
        </w:rPr>
        <w:t>时间：2025年</w:t>
      </w:r>
      <w:r>
        <w:rPr>
          <w:rFonts w:hint="eastAsia" w:ascii="仿宋_GB2312" w:hAnsi="仿宋_GB2312" w:eastAsia="仿宋_GB2312" w:cs="仿宋_GB2312"/>
          <w:color w:val="000000"/>
          <w:sz w:val="32"/>
          <w:szCs w:val="32"/>
          <w:lang w:val="en-US" w:eastAsia="zh-CN"/>
        </w:rPr>
        <w:t>12</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日</w:t>
      </w:r>
      <w:r>
        <w:rPr>
          <w:rFonts w:hint="eastAsia" w:ascii="仿宋_GB2312" w:hAnsi="仿宋_GB2312" w:eastAsia="仿宋_GB2312" w:cs="仿宋_GB2312"/>
          <w:color w:val="000000"/>
          <w:sz w:val="32"/>
          <w:szCs w:val="32"/>
          <w:lang w:val="en-US" w:eastAsia="zh-CN"/>
        </w:rPr>
        <w:t>-12月14日</w:t>
      </w:r>
    </w:p>
    <w:p w14:paraId="78BE580A">
      <w:pPr>
        <w:spacing w:line="560" w:lineRule="exact"/>
        <w:ind w:firstLine="643" w:firstLineChars="200"/>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（二）报名及所需资料</w:t>
      </w:r>
    </w:p>
    <w:p w14:paraId="18B596CD">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方案公告发布7天内，业主单位接受报名。</w:t>
      </w:r>
    </w:p>
    <w:p w14:paraId="6D6F79E2">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报名所需资料：</w:t>
      </w:r>
    </w:p>
    <w:p w14:paraId="2B8330D5">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1.企业营业执照或事业单位法人证书复印件(原件备查验);</w:t>
      </w:r>
    </w:p>
    <w:p w14:paraId="1216E156">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2.公司或单位基本情况简介材料;</w:t>
      </w:r>
    </w:p>
    <w:p w14:paraId="70E292CD">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3.符合《中华人民共和国政府采购法》第二十二条规定的相应证明材料(相关证明可提供承诺函);</w:t>
      </w:r>
    </w:p>
    <w:p w14:paraId="69FD5E74">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4.业绩证明、人员配备、服务方案等;</w:t>
      </w:r>
    </w:p>
    <w:p w14:paraId="3F72D4FA">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5.比选报名表(见</w:t>
      </w:r>
      <w:r>
        <w:rPr>
          <w:rFonts w:hint="eastAsia" w:ascii="仿宋_GB2312" w:hAnsi="仿宋_GB2312" w:eastAsia="仿宋_GB2312" w:cs="仿宋_GB2312"/>
          <w:color w:val="000000"/>
          <w:sz w:val="32"/>
          <w:szCs w:val="32"/>
          <w:lang w:eastAsia="zh-CN"/>
        </w:rPr>
        <w:t>公告</w:t>
      </w:r>
      <w:r>
        <w:rPr>
          <w:rFonts w:hint="eastAsia" w:ascii="仿宋_GB2312" w:hAnsi="仿宋_GB2312" w:eastAsia="仿宋_GB2312" w:cs="仿宋_GB2312"/>
          <w:color w:val="000000"/>
          <w:sz w:val="32"/>
          <w:szCs w:val="32"/>
        </w:rPr>
        <w:t>附件</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w:t>
      </w:r>
    </w:p>
    <w:p w14:paraId="135D70E6">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6.投标承诺函(见</w:t>
      </w:r>
      <w:r>
        <w:rPr>
          <w:rFonts w:hint="eastAsia" w:ascii="仿宋_GB2312" w:hAnsi="仿宋_GB2312" w:eastAsia="仿宋_GB2312" w:cs="仿宋_GB2312"/>
          <w:color w:val="000000"/>
          <w:sz w:val="32"/>
          <w:szCs w:val="32"/>
          <w:lang w:eastAsia="zh-CN"/>
        </w:rPr>
        <w:t>公告</w:t>
      </w:r>
      <w:r>
        <w:rPr>
          <w:rFonts w:hint="eastAsia" w:ascii="仿宋_GB2312" w:hAnsi="仿宋_GB2312" w:eastAsia="仿宋_GB2312" w:cs="仿宋_GB2312"/>
          <w:color w:val="000000"/>
          <w:sz w:val="32"/>
          <w:szCs w:val="32"/>
        </w:rPr>
        <w:t>附件</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w:t>
      </w:r>
    </w:p>
    <w:p w14:paraId="26CCCB1E">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7.法定代表人授权书(见</w:t>
      </w:r>
      <w:r>
        <w:rPr>
          <w:rFonts w:hint="eastAsia" w:ascii="仿宋_GB2312" w:hAnsi="仿宋_GB2312" w:eastAsia="仿宋_GB2312" w:cs="仿宋_GB2312"/>
          <w:color w:val="000000"/>
          <w:sz w:val="32"/>
          <w:szCs w:val="32"/>
          <w:lang w:eastAsia="zh-CN"/>
        </w:rPr>
        <w:t>公告</w:t>
      </w:r>
      <w:r>
        <w:rPr>
          <w:rFonts w:hint="eastAsia" w:ascii="仿宋_GB2312" w:hAnsi="仿宋_GB2312" w:eastAsia="仿宋_GB2312" w:cs="仿宋_GB2312"/>
          <w:color w:val="000000"/>
          <w:sz w:val="32"/>
          <w:szCs w:val="32"/>
        </w:rPr>
        <w:t>附件</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w:t>
      </w:r>
    </w:p>
    <w:p w14:paraId="310ECF54">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注:①以上材料装订成册,一式</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份,并加盖鲜章,整体加盖骑缝章;所有投选材料需密封后加盖公章并在封面注明投选法人名称及投选项目名称。②须提供加盖鲜章的资格证明材料复印件,原件备查。报名单位在报名截止时间前将上述所需资料密封递交（寄送）至乐山市商务局服务业科（含电子版文档）。报名截止时间后递交的参选文件将不再受理。</w:t>
      </w:r>
    </w:p>
    <w:p w14:paraId="385E1D59">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报名截止时间：2025年</w:t>
      </w:r>
      <w:r>
        <w:rPr>
          <w:rFonts w:hint="eastAsia" w:ascii="仿宋_GB2312" w:hAnsi="仿宋_GB2312" w:eastAsia="仿宋_GB2312" w:cs="仿宋_GB2312"/>
          <w:color w:val="000000"/>
          <w:sz w:val="32"/>
          <w:szCs w:val="32"/>
          <w:lang w:val="en-US" w:eastAsia="zh-CN"/>
        </w:rPr>
        <w:t>12</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14</w:t>
      </w:r>
      <w:r>
        <w:rPr>
          <w:rFonts w:hint="eastAsia" w:ascii="仿宋_GB2312" w:hAnsi="仿宋_GB2312" w:eastAsia="仿宋_GB2312" w:cs="仿宋_GB2312"/>
          <w:color w:val="000000"/>
          <w:sz w:val="32"/>
          <w:szCs w:val="32"/>
        </w:rPr>
        <w:t>日</w:t>
      </w:r>
      <w:r>
        <w:rPr>
          <w:rFonts w:hint="eastAsia" w:ascii="仿宋_GB2312" w:hAnsi="仿宋_GB2312" w:eastAsia="仿宋_GB2312" w:cs="仿宋_GB2312"/>
          <w:color w:val="000000"/>
          <w:sz w:val="32"/>
          <w:szCs w:val="32"/>
          <w:lang w:val="en-US" w:eastAsia="zh-CN"/>
        </w:rPr>
        <w:t>18：00</w:t>
      </w:r>
      <w:r>
        <w:rPr>
          <w:rFonts w:hint="eastAsia" w:ascii="仿宋_GB2312" w:hAnsi="仿宋_GB2312" w:eastAsia="仿宋_GB2312" w:cs="仿宋_GB2312"/>
          <w:color w:val="000000"/>
          <w:sz w:val="32"/>
          <w:szCs w:val="32"/>
        </w:rPr>
        <w:t>时。</w:t>
      </w:r>
    </w:p>
    <w:p w14:paraId="171699C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报名地点：</w:t>
      </w:r>
      <w:r>
        <w:rPr>
          <w:rFonts w:hint="eastAsia" w:ascii="仿宋_GB2312" w:hAnsi="仿宋_GB2312" w:eastAsia="仿宋_GB2312" w:cs="仿宋_GB2312"/>
          <w:w w:val="100"/>
          <w:sz w:val="32"/>
          <w:szCs w:val="32"/>
          <w:lang w:val="en-US" w:eastAsia="zh-CN"/>
        </w:rPr>
        <w:t>乐山市商务局（春华路南段608号）5楼服务业综合科（504室）。</w:t>
      </w:r>
    </w:p>
    <w:p w14:paraId="226B3DF0">
      <w:pPr>
        <w:spacing w:line="560" w:lineRule="exact"/>
        <w:ind w:firstLine="643" w:firstLineChars="200"/>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（三）比选时间</w:t>
      </w:r>
    </w:p>
    <w:p w14:paraId="6A2B0DB6">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业主单位组建比选委员会开展比选工作。于2025年</w:t>
      </w:r>
      <w:r>
        <w:rPr>
          <w:rFonts w:hint="eastAsia" w:ascii="仿宋_GB2312" w:hAnsi="仿宋_GB2312" w:eastAsia="仿宋_GB2312" w:cs="仿宋_GB2312"/>
          <w:color w:val="000000"/>
          <w:sz w:val="32"/>
          <w:szCs w:val="32"/>
          <w:lang w:val="en-US" w:eastAsia="zh-CN"/>
        </w:rPr>
        <w:t>12</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15</w:t>
      </w:r>
      <w:r>
        <w:rPr>
          <w:rFonts w:hint="eastAsia" w:ascii="仿宋_GB2312" w:hAnsi="仿宋_GB2312" w:eastAsia="仿宋_GB2312" w:cs="仿宋_GB2312"/>
          <w:color w:val="000000"/>
          <w:sz w:val="32"/>
          <w:szCs w:val="32"/>
        </w:rPr>
        <w:t>日举行公开比选，依次听取参选单位对《规划》研究的陈述及审阅其提交的参选材料后根据评分高低确定中选单位，及时公布比选结果。</w:t>
      </w:r>
    </w:p>
    <w:p w14:paraId="466B0AD3">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比选主要因素：《规划》研究方案思路清晰，符合乐山实际，具备较强的操作性；研究方法科学，适合课题要求；参选单位信誉良好，业绩突出，</w:t>
      </w:r>
      <w:r>
        <w:rPr>
          <w:rFonts w:hint="eastAsia" w:ascii="仿宋_GB2312" w:hAnsi="仿宋_GB2312" w:eastAsia="仿宋_GB2312" w:cs="仿宋_GB2312"/>
          <w:color w:val="000000"/>
          <w:sz w:val="32"/>
          <w:szCs w:val="32"/>
          <w:lang w:eastAsia="zh-CN"/>
        </w:rPr>
        <w:t>团队综合实力强，</w:t>
      </w:r>
      <w:r>
        <w:rPr>
          <w:rFonts w:hint="eastAsia" w:ascii="仿宋_GB2312" w:hAnsi="仿宋_GB2312" w:eastAsia="仿宋_GB2312" w:cs="仿宋_GB2312"/>
          <w:color w:val="000000"/>
          <w:sz w:val="32"/>
          <w:szCs w:val="32"/>
        </w:rPr>
        <w:t>具有一定知名度；参选单位组建专门的团队从事编制工作，具有良好的合作精神，能够提供全程优质服务。</w:t>
      </w:r>
    </w:p>
    <w:p w14:paraId="61B91353">
      <w:pPr>
        <w:spacing w:line="560" w:lineRule="exact"/>
        <w:ind w:firstLine="643" w:firstLineChars="200"/>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（四）签订合同</w:t>
      </w:r>
    </w:p>
    <w:p w14:paraId="6D2CA08D">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中选单位与业主单位指定代表签订《乐山市商务局委托规划编制合同书》。</w:t>
      </w:r>
    </w:p>
    <w:p w14:paraId="0189302A">
      <w:pPr>
        <w:spacing w:line="560" w:lineRule="exact"/>
        <w:ind w:firstLine="640" w:firstLineChars="200"/>
        <w:rPr>
          <w:rFonts w:hint="eastAsia" w:ascii="方正黑体简体" w:hAnsi="方正黑体简体" w:eastAsia="方正黑体简体" w:cs="方正黑体简体"/>
          <w:color w:val="000000"/>
          <w:sz w:val="32"/>
          <w:szCs w:val="32"/>
        </w:rPr>
      </w:pPr>
      <w:r>
        <w:rPr>
          <w:rFonts w:hint="eastAsia" w:ascii="方正黑体简体" w:hAnsi="方正黑体简体" w:eastAsia="方正黑体简体" w:cs="方正黑体简体"/>
          <w:color w:val="000000"/>
          <w:sz w:val="32"/>
          <w:szCs w:val="32"/>
        </w:rPr>
        <w:t>五、对中选单位和中选课题的管理</w:t>
      </w:r>
    </w:p>
    <w:p w14:paraId="61F7A54D">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业主单位指定代表全程监督检查与中选单位签订的《规划编制合同书》的执行情况，并给予如有关部门走访获取资料的协助。</w:t>
      </w:r>
    </w:p>
    <w:p w14:paraId="651C6F81">
      <w:pPr>
        <w:spacing w:line="560" w:lineRule="exact"/>
        <w:ind w:firstLine="640" w:firstLineChars="200"/>
        <w:rPr>
          <w:rFonts w:hint="eastAsia" w:ascii="方正黑体简体" w:hAnsi="方正黑体简体" w:eastAsia="方正黑体简体" w:cs="方正黑体简体"/>
          <w:color w:val="000000"/>
          <w:sz w:val="32"/>
          <w:szCs w:val="32"/>
        </w:rPr>
      </w:pPr>
      <w:r>
        <w:rPr>
          <w:rFonts w:hint="eastAsia" w:ascii="方正黑体简体" w:hAnsi="方正黑体简体" w:eastAsia="方正黑体简体" w:cs="方正黑体简体"/>
          <w:color w:val="000000"/>
          <w:sz w:val="32"/>
          <w:szCs w:val="32"/>
        </w:rPr>
        <w:t>六、时间进度要求</w:t>
      </w:r>
    </w:p>
    <w:p w14:paraId="55B00447">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中选单位应于2025年12月30日前完成《规划》研究初稿，提交业主单位。中选单位根据评议审查结果对《规划》进行修改和完善，2026年4月30日前向业主单位提交符合要求的正式《规划》。同时，中选单位在业主单位正式提交市政府常务会审定前，需按程序完成《规划》的社会稳定风险评估、</w:t>
      </w:r>
      <w:bookmarkStart w:id="0" w:name="OLE_LINK1"/>
      <w:r>
        <w:rPr>
          <w:rFonts w:hint="eastAsia" w:ascii="仿宋_GB2312" w:hAnsi="仿宋_GB2312" w:eastAsia="仿宋_GB2312" w:cs="仿宋_GB2312"/>
          <w:color w:val="000000"/>
          <w:sz w:val="32"/>
          <w:szCs w:val="32"/>
        </w:rPr>
        <w:t>公平性</w:t>
      </w:r>
      <w:bookmarkEnd w:id="0"/>
      <w:r>
        <w:rPr>
          <w:rFonts w:hint="eastAsia" w:ascii="仿宋_GB2312" w:hAnsi="仿宋_GB2312" w:eastAsia="仿宋_GB2312" w:cs="仿宋_GB2312"/>
          <w:color w:val="000000"/>
          <w:sz w:val="32"/>
          <w:szCs w:val="32"/>
        </w:rPr>
        <w:t>竞争审查、环境影响评价等环节工作</w:t>
      </w:r>
      <w:r>
        <w:rPr>
          <w:rFonts w:hint="eastAsia" w:ascii="仿宋_GB2312" w:hAnsi="仿宋_GB2312" w:eastAsia="仿宋_GB2312" w:cs="仿宋_GB2312"/>
          <w:color w:val="000000"/>
          <w:sz w:val="32"/>
          <w:szCs w:val="32"/>
          <w:lang w:eastAsia="zh-CN"/>
        </w:rPr>
        <w:t>，做好通过市政府常务会相关服务和资料准备等</w:t>
      </w:r>
      <w:r>
        <w:rPr>
          <w:rFonts w:hint="eastAsia" w:ascii="仿宋_GB2312" w:hAnsi="仿宋_GB2312" w:eastAsia="仿宋_GB2312" w:cs="仿宋_GB2312"/>
          <w:color w:val="000000"/>
          <w:sz w:val="32"/>
          <w:szCs w:val="32"/>
        </w:rPr>
        <w:t>。</w:t>
      </w:r>
    </w:p>
    <w:p w14:paraId="461845DE">
      <w:pPr>
        <w:spacing w:line="560" w:lineRule="exact"/>
        <w:ind w:firstLine="640" w:firstLineChars="200"/>
        <w:rPr>
          <w:rFonts w:hint="eastAsia" w:ascii="方正黑体简体" w:hAnsi="方正黑体简体" w:eastAsia="方正黑体简体" w:cs="方正黑体简体"/>
          <w:color w:val="000000"/>
          <w:sz w:val="32"/>
          <w:szCs w:val="32"/>
        </w:rPr>
      </w:pPr>
      <w:r>
        <w:rPr>
          <w:rFonts w:hint="eastAsia" w:ascii="方正黑体简体" w:hAnsi="方正黑体简体" w:eastAsia="方正黑体简体" w:cs="方正黑体简体"/>
          <w:color w:val="000000"/>
          <w:sz w:val="32"/>
          <w:szCs w:val="32"/>
        </w:rPr>
        <w:t>七、纪律要求</w:t>
      </w:r>
    </w:p>
    <w:p w14:paraId="35CAAA36">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1.业主单位负责对申报工作的组织和指导，确保公平公正公开比选。</w:t>
      </w:r>
    </w:p>
    <w:p w14:paraId="5B9CA542">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2.服务建议书及课题必须拥有充分、完全、排他的著作权。内容不能弄虚作假、抄袭剽窃。一经查实，即取消参评资格;如已获中选，一律撤项。</w:t>
      </w:r>
    </w:p>
    <w:p w14:paraId="0C0AA8D6">
      <w:pPr>
        <w:spacing w:line="560" w:lineRule="exact"/>
        <w:ind w:firstLine="640" w:firstLineChars="200"/>
        <w:rPr>
          <w:rFonts w:hint="eastAsia" w:ascii="方正黑体简体" w:hAnsi="方正黑体简体" w:eastAsia="方正黑体简体" w:cs="方正黑体简体"/>
          <w:color w:val="000000"/>
          <w:sz w:val="32"/>
          <w:szCs w:val="32"/>
        </w:rPr>
      </w:pPr>
      <w:r>
        <w:rPr>
          <w:rFonts w:hint="eastAsia" w:ascii="方正黑体简体" w:hAnsi="方正黑体简体" w:eastAsia="方正黑体简体" w:cs="方正黑体简体"/>
          <w:color w:val="000000"/>
          <w:sz w:val="32"/>
          <w:szCs w:val="32"/>
        </w:rPr>
        <w:t>八、成果管理</w:t>
      </w:r>
    </w:p>
    <w:p w14:paraId="0EAE2231">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规划成果归乐山市商务局所有。中选单位无权自行或授权任何第三方使用。</w:t>
      </w:r>
    </w:p>
    <w:p w14:paraId="629097D1">
      <w:pPr>
        <w:spacing w:line="560" w:lineRule="exact"/>
        <w:ind w:firstLine="640" w:firstLineChars="200"/>
        <w:rPr>
          <w:rFonts w:hint="eastAsia" w:ascii="方正黑体简体" w:hAnsi="方正黑体简体" w:eastAsia="方正黑体简体" w:cs="方正黑体简体"/>
          <w:color w:val="000000"/>
          <w:sz w:val="32"/>
          <w:szCs w:val="32"/>
        </w:rPr>
      </w:pPr>
      <w:r>
        <w:rPr>
          <w:rFonts w:hint="eastAsia" w:ascii="方正黑体简体" w:hAnsi="方正黑体简体" w:eastAsia="方正黑体简体" w:cs="方正黑体简体"/>
          <w:color w:val="000000"/>
          <w:sz w:val="32"/>
          <w:szCs w:val="32"/>
        </w:rPr>
        <w:t>九、其他事项</w:t>
      </w:r>
    </w:p>
    <w:p w14:paraId="3BBE3CFA">
      <w:pPr>
        <w:spacing w:line="560" w:lineRule="exact"/>
        <w:ind w:firstLine="640"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联系人：</w:t>
      </w:r>
      <w:r>
        <w:rPr>
          <w:rFonts w:hint="eastAsia" w:ascii="仿宋_GB2312" w:hAnsi="仿宋_GB2312" w:eastAsia="仿宋_GB2312" w:cs="仿宋_GB2312"/>
          <w:color w:val="000000"/>
          <w:sz w:val="32"/>
          <w:szCs w:val="32"/>
          <w:lang w:eastAsia="zh-CN"/>
        </w:rPr>
        <w:t>雍老师</w:t>
      </w:r>
    </w:p>
    <w:p w14:paraId="32DC5E7E">
      <w:pPr>
        <w:spacing w:line="560" w:lineRule="exact"/>
        <w:ind w:firstLine="640" w:firstLineChars="200"/>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联系电话：0833-2133156</w:t>
      </w:r>
      <w:r>
        <w:rPr>
          <w:rFonts w:hint="eastAsia" w:ascii="仿宋_GB2312" w:hAnsi="仿宋_GB2312" w:eastAsia="仿宋_GB2312" w:cs="仿宋_GB2312"/>
          <w:color w:val="000000"/>
          <w:sz w:val="32"/>
          <w:szCs w:val="32"/>
        </w:rPr>
        <w:tab/>
      </w:r>
    </w:p>
    <w:p w14:paraId="3678CBA9">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邮箱：</w:t>
      </w: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HYPERLINK "mailto:404419187@qq.com"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color w:val="000000"/>
          <w:sz w:val="32"/>
          <w:szCs w:val="32"/>
          <w:lang w:val="en-US" w:eastAsia="zh-CN"/>
        </w:rPr>
        <w:t>806477369</w:t>
      </w:r>
      <w:r>
        <w:rPr>
          <w:rFonts w:hint="eastAsia" w:ascii="仿宋_GB2312" w:hAnsi="仿宋_GB2312" w:eastAsia="仿宋_GB2312" w:cs="仿宋_GB2312"/>
          <w:color w:val="000000"/>
          <w:sz w:val="32"/>
          <w:szCs w:val="32"/>
        </w:rPr>
        <w:t>@qq.com</w:t>
      </w:r>
      <w:r>
        <w:rPr>
          <w:rFonts w:hint="eastAsia" w:ascii="仿宋_GB2312" w:hAnsi="仿宋_GB2312" w:eastAsia="仿宋_GB2312" w:cs="仿宋_GB2312"/>
          <w:color w:val="000000"/>
          <w:sz w:val="32"/>
          <w:szCs w:val="32"/>
        </w:rPr>
        <w:fldChar w:fldCharType="end"/>
      </w:r>
    </w:p>
    <w:p w14:paraId="6DB87604">
      <w:pPr>
        <w:spacing w:line="560" w:lineRule="exact"/>
        <w:rPr>
          <w:rFonts w:hint="eastAsia" w:ascii="仿宋_GB2312" w:hAnsi="仿宋_GB2312" w:eastAsia="仿宋_GB2312" w:cs="仿宋_GB2312"/>
          <w:color w:val="000000"/>
          <w:sz w:val="32"/>
          <w:szCs w:val="32"/>
        </w:rPr>
      </w:pPr>
    </w:p>
    <w:p w14:paraId="14C9504C">
      <w:pPr>
        <w:spacing w:line="560" w:lineRule="exact"/>
        <w:ind w:firstLine="640" w:firstLineChars="200"/>
        <w:rPr>
          <w:rFonts w:hint="eastAsia" w:ascii="仿宋_GB2312" w:hAnsi="仿宋_GB2312" w:eastAsia="仿宋_GB2312" w:cs="仿宋_GB2312"/>
          <w:color w:val="000000"/>
          <w:sz w:val="32"/>
          <w:szCs w:val="32"/>
        </w:rPr>
      </w:pPr>
    </w:p>
    <w:p w14:paraId="5435F91B">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b/>
      </w:r>
      <w:r>
        <w:rPr>
          <w:rFonts w:hint="eastAsia" w:ascii="仿宋_GB2312" w:hAnsi="仿宋_GB2312" w:eastAsia="仿宋_GB2312" w:cs="仿宋_GB2312"/>
          <w:color w:val="000000"/>
          <w:sz w:val="32"/>
          <w:szCs w:val="32"/>
        </w:rPr>
        <w:tab/>
      </w:r>
      <w:r>
        <w:rPr>
          <w:rFonts w:hint="eastAsia" w:ascii="仿宋_GB2312" w:hAnsi="仿宋_GB2312" w:eastAsia="仿宋_GB2312" w:cs="仿宋_GB2312"/>
          <w:color w:val="000000"/>
          <w:sz w:val="32"/>
          <w:szCs w:val="32"/>
        </w:rPr>
        <w:t xml:space="preserve">                          乐山市商务局</w:t>
      </w:r>
      <w:r>
        <w:rPr>
          <w:rFonts w:hint="eastAsia" w:ascii="仿宋_GB2312" w:hAnsi="仿宋_GB2312" w:eastAsia="仿宋_GB2312" w:cs="仿宋_GB2312"/>
          <w:color w:val="000000"/>
          <w:sz w:val="32"/>
          <w:szCs w:val="32"/>
        </w:rPr>
        <w:tab/>
      </w:r>
    </w:p>
    <w:p w14:paraId="1680DCD5">
      <w:pPr>
        <w:spacing w:line="560" w:lineRule="exact"/>
        <w:ind w:firstLine="5120" w:firstLineChars="16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2025年</w:t>
      </w:r>
      <w:r>
        <w:rPr>
          <w:rFonts w:hint="eastAsia" w:ascii="仿宋_GB2312" w:hAnsi="仿宋_GB2312" w:eastAsia="仿宋_GB2312" w:cs="仿宋_GB2312"/>
          <w:color w:val="000000"/>
          <w:sz w:val="32"/>
          <w:szCs w:val="32"/>
          <w:lang w:val="en-US" w:eastAsia="zh-CN"/>
        </w:rPr>
        <w:t>12</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日</w:t>
      </w:r>
    </w:p>
    <w:p w14:paraId="3254ADA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6"/>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EE64A2"/>
    <w:rsid w:val="06EE64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正文2"/>
    <w:basedOn w:val="3"/>
    <w:next w:val="1"/>
    <w:qFormat/>
    <w:uiPriority w:val="0"/>
  </w:style>
  <w:style w:type="paragraph" w:customStyle="1" w:styleId="3">
    <w:name w:val="正文 New New New New"/>
    <w:next w:val="2"/>
    <w:qFormat/>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2025-12-08T09:28:00Z</dcterms:created>
  <dc:creator>月牙台</dc:creator>
  <cp:lastModifiedBy>月牙台</cp:lastModifiedBy>
  <dcterms:modified xsi:type="dcterms:W3CDTF">2025-12-08T09:29:23Z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56AF623D8D7A482F94A52B57FBD59AE4_11</vt:lpwstr>
  </property>
  <property fmtid="{D5CDD505-2E9C-101B-9397-08002B2CF9AE}" pid="4" name="KSOTemplateDocerSaveRecord">
    <vt:lpwstr>eyJoZGlkIjoiNTYxMDBkZjNjMjg0NzhjMGUyN2NmY2Q2MTE5ZTIzNjEiLCJ1c2VySWQiOiI4MDA3NzkifQ==</vt:lpwstr>
  </property>
</Properties>
</file>