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6AC3E">
      <w:pPr>
        <w:spacing w:line="7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关于《岷江生态航运综合开发项目地块规划调整</w:t>
      </w:r>
    </w:p>
    <w:p w14:paraId="69ABA354">
      <w:pPr>
        <w:spacing w:line="7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论证报告》的解读</w:t>
      </w:r>
    </w:p>
    <w:p w14:paraId="78A5BD88">
      <w:pPr>
        <w:spacing w:line="600" w:lineRule="exact"/>
        <w:ind w:firstLine="640" w:firstLineChars="200"/>
        <w:rPr>
          <w:rFonts w:ascii="仿宋_GB2312" w:hAnsi="仿宋_GB2312" w:eastAsia="仿宋_GB2312" w:cs="仿宋_GB2312"/>
          <w:sz w:val="32"/>
          <w:szCs w:val="32"/>
        </w:rPr>
      </w:pPr>
    </w:p>
    <w:p w14:paraId="7A7DD794">
      <w:pPr>
        <w:numPr>
          <w:ilvl w:val="0"/>
          <w:numId w:val="1"/>
        </w:numPr>
        <w:spacing w:line="60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项目概况</w:t>
      </w:r>
    </w:p>
    <w:p w14:paraId="06920CE2">
      <w:pPr>
        <w:numPr>
          <w:ilvl w:val="0"/>
          <w:numId w:val="0"/>
        </w:numPr>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岷江生态航运综合开发项目位于四川省乐山市犍为县玉津镇，用地面积43.10公顷（其中鱼类增殖站6.96公顷、业主营地5.70公顷、岷江桫椤丽港酒店1.13公顷、江岸观景区29.31公顷），用地性质为商业用地、其他公用设施用地。土地基本情况为①其中23.19公顷取得《四川省人民政府关于岷江犍为航电枢纽工程建设用地的批复（川府土[2020]366号）》；②其中9.63公顷为紫鑫建设投资有限公司证载范围；③其中0.79公顷既是《四川省人民政府关于岷江犍为航电枢纽工程建设用地的批复（川府土[2020]366号）》范围，又是紫鑫建设投资有限公司证载范围；④其中9.49公顷为集体土地。主要建设内容有拟以犍为业主营地5号楼改造为核心载体，利用二线船闸预留用地，整合营地内部景观、会议配套、运动设施等资源，优化升级岷江岸线景观串联鱼类增殖站、鱼道、航电枢纽大坝等科普空间；利用港投生态农业优势塑造岷江沿岸现代农业品牌，融合犍为巴蜀文化资源，打造岷江第一座具有滨水休闲、工业和岷江文化展示、科研办公、旅游客运等功能的生态航运基地，建成后可新增劳动就业300人以上。</w:t>
      </w:r>
    </w:p>
    <w:p w14:paraId="5080AB33">
      <w:pPr>
        <w:numPr>
          <w:ilvl w:val="0"/>
          <w:numId w:val="1"/>
        </w:numPr>
        <w:spacing w:line="60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项目调整依据</w:t>
      </w:r>
    </w:p>
    <w:p w14:paraId="43D176E8">
      <w:pPr>
        <w:numPr>
          <w:ilvl w:val="0"/>
          <w:numId w:val="0"/>
        </w:numPr>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川省城乡规划条例》第六十七条提出，城市、镇总体规划发生变更，对控制性详细规划控制区域的功能与布局产生重大影响的可修改控制性详细规划。2024年5月24日，四川省人民政府正式批复《犍为县国土空间总体规划（2021—2035年）》（川府函〔2024〕144号），对《犍为县县城控制性详细规划》控制区域的功能与布局有重大影响，遂进行本次《犍为县县城控制性详细规划》岷江生态航运综合开发项目涉及地块调整论证。</w:t>
      </w:r>
    </w:p>
    <w:p w14:paraId="25A7492B">
      <w:pPr>
        <w:numPr>
          <w:ilvl w:val="0"/>
          <w:numId w:val="1"/>
        </w:numPr>
        <w:spacing w:line="60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论证内容及结论</w:t>
      </w:r>
    </w:p>
    <w:p w14:paraId="3DC7D3F5">
      <w:pPr>
        <w:numPr>
          <w:ilvl w:val="0"/>
          <w:numId w:val="0"/>
        </w:numPr>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块调整内容：（1）项目范围内：①将区域公用设施用地调整为商业用地（岷江桫椤丽港酒店），②将二类居住用地、文物古迹用地、城市道路用地、防护绿地、水域、农林用地调整为区域公用设施用地(鱼类增殖站、业主营地、江岸观景区)。（2）项目范围外：①增加向坪110千伏变电站用地作为远期预留用地，将区域公用设施用地调整为供电用地；②将鱼类增殖站、业主营地之间的道路按现状道路调整为城市道路用地；③为保障现有地块用地完整性，取消规划支路向坪纬一路，将项目范围外现状道路规划为城市支路，道路宽度为20米，用地性质为城市道路用地；④按照项目范围线调整边界处的公园绿地与水域。</w:t>
      </w:r>
    </w:p>
    <w:p w14:paraId="25EA6819">
      <w:pPr>
        <w:numPr>
          <w:ilvl w:val="0"/>
          <w:numId w:val="0"/>
        </w:numPr>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块调整论证：（1）拟减少文物古迹用地0.05公顷，调整后用地性质为区域公用设施用地，该地块已取得《四川省人民政府关于岷江犍为航电枢纽工程建设用地的批复（川府土[2020]366号）》，同时犍为县文物保护管理所已出具关于叉鱼寺石刻文物现状的说明，该文物点因岷江航电工程的需要已于2019年进行了切割搬迁，目前该地段无地面文物。（2）拟减少居住用地3.58公顷，调整后人均居住用地由30.49㎡/人小幅降低至30.29㎡/人，满足《城市用地分类与规划建设用地标准》（GB50137-2011）中对人均居住用地23-36㎡/人的要求。（3）拟减少城市道路用地0.65公顷，调整后人均城市道路用地由17.86㎡/人小幅降低至17.82㎡/人，满足《城市用地分类与规划建设用地标准》（GB50137-2011）中对小城市人均城市道路用地11.1-39.6㎡/人的要求。（4）拟减少绿地0.45公顷，调整后人均绿地面积由16.95㎡/人小幅降低至16.93㎡/人，根据《城市用地分类与规划建设用地标准》（GB50137-2011），规划人均绿地面积不应小于10.0㎡/人，方案调整后满足最低标准要求。同时鱼类增殖站建设与道路之间留有防护绿地，能够保证道路绿地系统的连续性。（5）拟减少水域12.51公顷、农林用地9.64公顷，用于规划建设鱼类增殖站、江岸观景区，调整区域已取得批复。（6）拟增加供电用地0.87公顷，作为向坪110千伏变电站远期预留用地。（7）拟增加商业用地1.13公顷，用于规划建设岷江桫椤丽港酒店，体现厚重质感的现代建筑与山水自然交融，不拘泥室内外的界限，以体验生活美学为内核的轻度假酒店。（8）拟增加区域公用设施用地24.88公顷，用于规划建设鱼类增殖站、业主营地、江岸观景区。鱼类增殖站用于培育鱼苗，弥补因建设岷江犍为航电枢纽工程对水域的破坏，恢复岷江鱼类种群、改善水域生态环境。业主营地建设办公楼、风雨球场、宿舍楼、餐厅等，用于员工工作办公、休闲娱乐。江岸观景区用于打造集工业景观展示、休闲旅游为一体的工业基地花园。综上所述，本次调整方案中对各类用地的调整均是合理可行的。</w:t>
      </w:r>
    </w:p>
    <w:p w14:paraId="5BC1A700">
      <w:pPr>
        <w:numPr>
          <w:ilvl w:val="0"/>
          <w:numId w:val="0"/>
        </w:numPr>
        <w:spacing w:line="600" w:lineRule="exact"/>
        <w:ind w:firstLine="560" w:firstLineChars="200"/>
        <w:rPr>
          <w:rFonts w:hint="eastAsia" w:ascii="仿宋_GB2312" w:hAnsi="仿宋_GB2312" w:eastAsia="仿宋_GB2312" w:cs="仿宋_GB2312"/>
          <w:sz w:val="28"/>
          <w:szCs w:val="28"/>
        </w:rPr>
      </w:pPr>
    </w:p>
    <w:p w14:paraId="0609D921">
      <w:pPr>
        <w:numPr>
          <w:ilvl w:val="0"/>
          <w:numId w:val="0"/>
        </w:numPr>
        <w:spacing w:line="600" w:lineRule="exact"/>
        <w:ind w:firstLine="560" w:firstLineChars="200"/>
        <w:rPr>
          <w:rFonts w:hint="eastAsia" w:ascii="仿宋_GB2312" w:hAnsi="仿宋_GB2312" w:eastAsia="仿宋_GB2312" w:cs="仿宋_GB2312"/>
          <w:sz w:val="28"/>
          <w:szCs w:val="28"/>
          <w:lang w:val="en-US" w:eastAsia="zh-CN"/>
        </w:rPr>
        <w:sectPr>
          <w:pgSz w:w="11906" w:h="16838"/>
          <w:pgMar w:top="1440" w:right="1080" w:bottom="1440" w:left="1080" w:header="851" w:footer="992" w:gutter="0"/>
          <w:pgNumType w:fmt="decimal"/>
          <w:cols w:space="425" w:num="1"/>
          <w:docGrid w:type="lines" w:linePitch="312" w:charSpace="0"/>
        </w:sectPr>
      </w:pPr>
    </w:p>
    <w:p w14:paraId="09DDAAA8">
      <w:pPr>
        <w:numPr>
          <w:ilvl w:val="0"/>
          <w:numId w:val="0"/>
        </w:numPr>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指标控制：</w:t>
      </w:r>
    </w:p>
    <w:tbl>
      <w:tblPr>
        <w:tblStyle w:val="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727"/>
        <w:gridCol w:w="1500"/>
        <w:gridCol w:w="2117"/>
        <w:gridCol w:w="1150"/>
        <w:gridCol w:w="1150"/>
        <w:gridCol w:w="1749"/>
        <w:gridCol w:w="1283"/>
        <w:gridCol w:w="1200"/>
        <w:gridCol w:w="3360"/>
      </w:tblGrid>
      <w:tr w14:paraId="036ED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850" w:hRule="atLeast"/>
          <w:jc w:val="center"/>
        </w:trPr>
        <w:tc>
          <w:tcPr>
            <w:tcW w:w="255" w:type="pct"/>
            <w:shd w:val="clear" w:color="auto" w:fill="auto"/>
            <w:tcMar>
              <w:top w:w="72" w:type="dxa"/>
              <w:left w:w="144" w:type="dxa"/>
              <w:bottom w:w="72" w:type="dxa"/>
              <w:right w:w="144" w:type="dxa"/>
            </w:tcMar>
            <w:vAlign w:val="center"/>
          </w:tcPr>
          <w:p w14:paraId="3894839F">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地块编码</w:t>
            </w:r>
          </w:p>
        </w:tc>
        <w:tc>
          <w:tcPr>
            <w:tcW w:w="526" w:type="pct"/>
            <w:shd w:val="clear" w:color="auto" w:fill="auto"/>
            <w:tcMar>
              <w:top w:w="72" w:type="dxa"/>
              <w:left w:w="144" w:type="dxa"/>
              <w:bottom w:w="72" w:type="dxa"/>
              <w:right w:w="144" w:type="dxa"/>
            </w:tcMar>
            <w:vAlign w:val="center"/>
          </w:tcPr>
          <w:p w14:paraId="1A185803">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用地代码</w:t>
            </w:r>
          </w:p>
        </w:tc>
        <w:tc>
          <w:tcPr>
            <w:tcW w:w="743" w:type="pct"/>
            <w:shd w:val="clear" w:color="auto" w:fill="auto"/>
            <w:tcMar>
              <w:top w:w="72" w:type="dxa"/>
              <w:left w:w="144" w:type="dxa"/>
              <w:bottom w:w="72" w:type="dxa"/>
              <w:right w:w="144" w:type="dxa"/>
            </w:tcMar>
            <w:vAlign w:val="center"/>
          </w:tcPr>
          <w:p w14:paraId="60416834">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用地名称</w:t>
            </w:r>
          </w:p>
        </w:tc>
        <w:tc>
          <w:tcPr>
            <w:tcW w:w="403" w:type="pct"/>
            <w:shd w:val="clear" w:color="auto" w:fill="auto"/>
            <w:tcMar>
              <w:top w:w="72" w:type="dxa"/>
              <w:left w:w="144" w:type="dxa"/>
              <w:bottom w:w="72" w:type="dxa"/>
              <w:right w:w="144" w:type="dxa"/>
            </w:tcMar>
            <w:vAlign w:val="center"/>
          </w:tcPr>
          <w:p w14:paraId="63468E27">
            <w:pPr>
              <w:pStyle w:val="5"/>
              <w:keepNext w:val="0"/>
              <w:keepLines w:val="0"/>
              <w:widowControl/>
              <w:suppressLineNumbers w:val="0"/>
              <w:jc w:val="center"/>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用地面积(ha)</w:t>
            </w:r>
          </w:p>
        </w:tc>
        <w:tc>
          <w:tcPr>
            <w:tcW w:w="403" w:type="pct"/>
            <w:shd w:val="clear" w:color="auto" w:fill="auto"/>
            <w:tcMar>
              <w:top w:w="72" w:type="dxa"/>
              <w:left w:w="144" w:type="dxa"/>
              <w:bottom w:w="72" w:type="dxa"/>
              <w:right w:w="144" w:type="dxa"/>
            </w:tcMar>
            <w:vAlign w:val="center"/>
          </w:tcPr>
          <w:p w14:paraId="470B1637">
            <w:pPr>
              <w:pStyle w:val="5"/>
              <w:keepNext w:val="0"/>
              <w:keepLines w:val="0"/>
              <w:widowControl/>
              <w:suppressLineNumbers w:val="0"/>
              <w:jc w:val="center"/>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建筑密度(%)</w:t>
            </w:r>
          </w:p>
        </w:tc>
        <w:tc>
          <w:tcPr>
            <w:tcW w:w="614" w:type="pct"/>
            <w:shd w:val="clear" w:color="auto" w:fill="auto"/>
            <w:tcMar>
              <w:top w:w="72" w:type="dxa"/>
              <w:left w:w="144" w:type="dxa"/>
              <w:bottom w:w="72" w:type="dxa"/>
              <w:right w:w="144" w:type="dxa"/>
            </w:tcMar>
            <w:vAlign w:val="center"/>
          </w:tcPr>
          <w:p w14:paraId="749B47D1">
            <w:pPr>
              <w:pStyle w:val="5"/>
              <w:keepNext w:val="0"/>
              <w:keepLines w:val="0"/>
              <w:widowControl/>
              <w:suppressLineNumbers w:val="0"/>
              <w:jc w:val="center"/>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容积率</w:t>
            </w:r>
          </w:p>
        </w:tc>
        <w:tc>
          <w:tcPr>
            <w:tcW w:w="450" w:type="pct"/>
            <w:shd w:val="clear" w:color="auto" w:fill="auto"/>
            <w:tcMar>
              <w:top w:w="72" w:type="dxa"/>
              <w:left w:w="144" w:type="dxa"/>
              <w:bottom w:w="72" w:type="dxa"/>
              <w:right w:w="144" w:type="dxa"/>
            </w:tcMar>
            <w:vAlign w:val="center"/>
          </w:tcPr>
          <w:p w14:paraId="4C92C653">
            <w:pPr>
              <w:pStyle w:val="5"/>
              <w:keepNext w:val="0"/>
              <w:keepLines w:val="0"/>
              <w:widowControl/>
              <w:suppressLineNumbers w:val="0"/>
              <w:jc w:val="center"/>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绿地率(%)</w:t>
            </w:r>
          </w:p>
        </w:tc>
        <w:tc>
          <w:tcPr>
            <w:tcW w:w="421" w:type="pct"/>
            <w:shd w:val="clear" w:color="auto" w:fill="auto"/>
            <w:tcMar>
              <w:top w:w="72" w:type="dxa"/>
              <w:left w:w="144" w:type="dxa"/>
              <w:bottom w:w="72" w:type="dxa"/>
              <w:right w:w="144" w:type="dxa"/>
            </w:tcMar>
            <w:vAlign w:val="center"/>
          </w:tcPr>
          <w:p w14:paraId="1DF80A64">
            <w:pPr>
              <w:pStyle w:val="5"/>
              <w:keepNext w:val="0"/>
              <w:keepLines w:val="0"/>
              <w:widowControl/>
              <w:suppressLineNumbers w:val="0"/>
              <w:jc w:val="center"/>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建筑限高(m)</w:t>
            </w:r>
          </w:p>
        </w:tc>
        <w:tc>
          <w:tcPr>
            <w:tcW w:w="1180" w:type="pct"/>
            <w:shd w:val="clear" w:color="auto" w:fill="auto"/>
            <w:tcMar>
              <w:top w:w="72" w:type="dxa"/>
              <w:left w:w="144" w:type="dxa"/>
              <w:bottom w:w="72" w:type="dxa"/>
              <w:right w:w="144" w:type="dxa"/>
            </w:tcMar>
            <w:vAlign w:val="center"/>
          </w:tcPr>
          <w:p w14:paraId="4C9F312C">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备注</w:t>
            </w:r>
          </w:p>
        </w:tc>
      </w:tr>
      <w:tr w14:paraId="539C5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5000" w:type="pct"/>
            <w:gridSpan w:val="9"/>
            <w:shd w:val="clear" w:color="auto" w:fill="auto"/>
            <w:tcMar>
              <w:top w:w="72" w:type="dxa"/>
              <w:left w:w="144" w:type="dxa"/>
              <w:bottom w:w="72" w:type="dxa"/>
              <w:right w:w="144" w:type="dxa"/>
            </w:tcMar>
            <w:vAlign w:val="center"/>
          </w:tcPr>
          <w:p w14:paraId="75654E18">
            <w:pPr>
              <w:pStyle w:val="5"/>
              <w:keepNext w:val="0"/>
              <w:keepLines w:val="0"/>
              <w:widowControl/>
              <w:suppressLineNumbers w:val="0"/>
              <w:jc w:val="center"/>
              <w:rPr>
                <w:rFonts w:hint="default" w:ascii="仿宋_GB2312" w:hAnsi="仿宋_GB2312" w:eastAsia="仿宋_GB2312" w:cs="仿宋_GB2312"/>
                <w:color w:val="auto"/>
                <w:sz w:val="21"/>
                <w:szCs w:val="21"/>
                <w:lang w:val="en-US"/>
              </w:rPr>
            </w:pPr>
            <w:r>
              <w:rPr>
                <w:rFonts w:hint="eastAsia" w:ascii="仿宋_GB2312" w:hAnsi="仿宋_GB2312" w:eastAsia="仿宋_GB2312" w:cs="仿宋_GB2312"/>
                <w:b/>
                <w:bCs/>
                <w:color w:val="auto"/>
                <w:sz w:val="21"/>
                <w:szCs w:val="21"/>
              </w:rPr>
              <w:t>项目范围内</w:t>
            </w:r>
            <w:r>
              <w:rPr>
                <w:rFonts w:hint="eastAsia" w:ascii="仿宋_GB2312" w:hAnsi="仿宋_GB2312" w:eastAsia="仿宋_GB2312" w:cs="仿宋_GB2312"/>
                <w:b/>
                <w:bCs/>
                <w:color w:val="auto"/>
                <w:sz w:val="21"/>
                <w:szCs w:val="21"/>
                <w:lang w:val="en-US" w:eastAsia="zh-CN"/>
              </w:rPr>
              <w:t>用地指标</w:t>
            </w:r>
          </w:p>
        </w:tc>
      </w:tr>
      <w:tr w14:paraId="034DC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55" w:type="pct"/>
            <w:shd w:val="clear" w:color="auto" w:fill="auto"/>
            <w:tcMar>
              <w:top w:w="72" w:type="dxa"/>
              <w:left w:w="144" w:type="dxa"/>
              <w:bottom w:w="72" w:type="dxa"/>
              <w:right w:w="144" w:type="dxa"/>
            </w:tcMar>
            <w:vAlign w:val="center"/>
          </w:tcPr>
          <w:p w14:paraId="153A822D">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526" w:type="pct"/>
            <w:shd w:val="clear" w:color="auto" w:fill="auto"/>
            <w:tcMar>
              <w:top w:w="72" w:type="dxa"/>
              <w:left w:w="144" w:type="dxa"/>
              <w:bottom w:w="72" w:type="dxa"/>
              <w:right w:w="144" w:type="dxa"/>
            </w:tcMar>
            <w:vAlign w:val="center"/>
          </w:tcPr>
          <w:p w14:paraId="03196BC3">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0901（原B1）</w:t>
            </w:r>
          </w:p>
        </w:tc>
        <w:tc>
          <w:tcPr>
            <w:tcW w:w="743" w:type="pct"/>
            <w:shd w:val="clear" w:color="auto" w:fill="auto"/>
            <w:tcMar>
              <w:top w:w="72" w:type="dxa"/>
              <w:left w:w="144" w:type="dxa"/>
              <w:bottom w:w="72" w:type="dxa"/>
              <w:right w:w="144" w:type="dxa"/>
            </w:tcMar>
            <w:vAlign w:val="center"/>
          </w:tcPr>
          <w:p w14:paraId="68DC60B0">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商业用地</w:t>
            </w:r>
          </w:p>
        </w:tc>
        <w:tc>
          <w:tcPr>
            <w:tcW w:w="403" w:type="pct"/>
            <w:shd w:val="clear" w:color="auto" w:fill="auto"/>
            <w:tcMar>
              <w:top w:w="72" w:type="dxa"/>
              <w:left w:w="144" w:type="dxa"/>
              <w:bottom w:w="72" w:type="dxa"/>
              <w:right w:w="144" w:type="dxa"/>
            </w:tcMar>
            <w:vAlign w:val="center"/>
          </w:tcPr>
          <w:p w14:paraId="3642A416">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1.13</w:t>
            </w:r>
          </w:p>
        </w:tc>
        <w:tc>
          <w:tcPr>
            <w:tcW w:w="403" w:type="pct"/>
            <w:shd w:val="clear" w:color="auto" w:fill="auto"/>
            <w:tcMar>
              <w:top w:w="72" w:type="dxa"/>
              <w:left w:w="144" w:type="dxa"/>
              <w:bottom w:w="72" w:type="dxa"/>
              <w:right w:w="144" w:type="dxa"/>
            </w:tcMar>
            <w:vAlign w:val="center"/>
          </w:tcPr>
          <w:p w14:paraId="6A1EB457">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≤45</w:t>
            </w:r>
          </w:p>
        </w:tc>
        <w:tc>
          <w:tcPr>
            <w:tcW w:w="614" w:type="pct"/>
            <w:shd w:val="clear" w:color="auto" w:fill="auto"/>
            <w:tcMar>
              <w:top w:w="72" w:type="dxa"/>
              <w:left w:w="144" w:type="dxa"/>
              <w:bottom w:w="72" w:type="dxa"/>
              <w:right w:w="144" w:type="dxa"/>
            </w:tcMar>
            <w:vAlign w:val="center"/>
          </w:tcPr>
          <w:p w14:paraId="71E54F24">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≤2.0</w:t>
            </w:r>
          </w:p>
        </w:tc>
        <w:tc>
          <w:tcPr>
            <w:tcW w:w="450" w:type="pct"/>
            <w:shd w:val="clear" w:color="auto" w:fill="auto"/>
            <w:tcMar>
              <w:top w:w="72" w:type="dxa"/>
              <w:left w:w="144" w:type="dxa"/>
              <w:bottom w:w="72" w:type="dxa"/>
              <w:right w:w="144" w:type="dxa"/>
            </w:tcMar>
            <w:vAlign w:val="center"/>
          </w:tcPr>
          <w:p w14:paraId="43FEDC28">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≥20</w:t>
            </w:r>
          </w:p>
        </w:tc>
        <w:tc>
          <w:tcPr>
            <w:tcW w:w="421" w:type="pct"/>
            <w:shd w:val="clear" w:color="auto" w:fill="auto"/>
            <w:tcMar>
              <w:top w:w="72" w:type="dxa"/>
              <w:left w:w="144" w:type="dxa"/>
              <w:bottom w:w="72" w:type="dxa"/>
              <w:right w:w="144" w:type="dxa"/>
            </w:tcMar>
            <w:vAlign w:val="center"/>
          </w:tcPr>
          <w:p w14:paraId="4B3B72CE">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24</w:t>
            </w:r>
          </w:p>
        </w:tc>
        <w:tc>
          <w:tcPr>
            <w:tcW w:w="1180" w:type="pct"/>
            <w:shd w:val="clear" w:color="auto" w:fill="auto"/>
            <w:tcMar>
              <w:top w:w="72" w:type="dxa"/>
              <w:left w:w="144" w:type="dxa"/>
              <w:bottom w:w="72" w:type="dxa"/>
              <w:right w:w="144" w:type="dxa"/>
            </w:tcMar>
            <w:vAlign w:val="center"/>
          </w:tcPr>
          <w:p w14:paraId="1E477EE2">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岷江桫椤丽港酒店</w:t>
            </w:r>
          </w:p>
        </w:tc>
      </w:tr>
      <w:tr w14:paraId="25FE3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55" w:type="pct"/>
            <w:shd w:val="clear" w:color="auto" w:fill="auto"/>
            <w:tcMar>
              <w:top w:w="72" w:type="dxa"/>
              <w:left w:w="144" w:type="dxa"/>
              <w:bottom w:w="72" w:type="dxa"/>
              <w:right w:w="144" w:type="dxa"/>
            </w:tcMar>
            <w:vAlign w:val="center"/>
          </w:tcPr>
          <w:p w14:paraId="79B7362C">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526" w:type="pct"/>
            <w:shd w:val="clear" w:color="auto" w:fill="auto"/>
            <w:tcMar>
              <w:top w:w="72" w:type="dxa"/>
              <w:left w:w="144" w:type="dxa"/>
              <w:bottom w:w="72" w:type="dxa"/>
              <w:right w:w="144" w:type="dxa"/>
            </w:tcMar>
            <w:vAlign w:val="center"/>
          </w:tcPr>
          <w:p w14:paraId="232E5F82">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1312（原H3）</w:t>
            </w:r>
          </w:p>
        </w:tc>
        <w:tc>
          <w:tcPr>
            <w:tcW w:w="743" w:type="pct"/>
            <w:shd w:val="clear" w:color="auto" w:fill="auto"/>
            <w:tcMar>
              <w:top w:w="72" w:type="dxa"/>
              <w:left w:w="144" w:type="dxa"/>
              <w:bottom w:w="72" w:type="dxa"/>
              <w:right w:w="144" w:type="dxa"/>
            </w:tcMar>
            <w:vAlign w:val="center"/>
          </w:tcPr>
          <w:p w14:paraId="6E44FC60">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其他公用设施用地</w:t>
            </w:r>
          </w:p>
        </w:tc>
        <w:tc>
          <w:tcPr>
            <w:tcW w:w="403" w:type="pct"/>
            <w:shd w:val="clear" w:color="auto" w:fill="auto"/>
            <w:tcMar>
              <w:top w:w="72" w:type="dxa"/>
              <w:left w:w="144" w:type="dxa"/>
              <w:bottom w:w="72" w:type="dxa"/>
              <w:right w:w="144" w:type="dxa"/>
            </w:tcMar>
            <w:vAlign w:val="center"/>
          </w:tcPr>
          <w:p w14:paraId="169FA59A">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6.96</w:t>
            </w:r>
          </w:p>
        </w:tc>
        <w:tc>
          <w:tcPr>
            <w:tcW w:w="403" w:type="pct"/>
            <w:shd w:val="clear" w:color="auto" w:fill="auto"/>
            <w:tcMar>
              <w:top w:w="72" w:type="dxa"/>
              <w:left w:w="144" w:type="dxa"/>
              <w:bottom w:w="72" w:type="dxa"/>
              <w:right w:w="144" w:type="dxa"/>
            </w:tcMar>
            <w:vAlign w:val="center"/>
          </w:tcPr>
          <w:p w14:paraId="6B3FD89B">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614" w:type="pct"/>
            <w:shd w:val="clear" w:color="auto" w:fill="auto"/>
            <w:tcMar>
              <w:top w:w="72" w:type="dxa"/>
              <w:left w:w="144" w:type="dxa"/>
              <w:bottom w:w="72" w:type="dxa"/>
              <w:right w:w="144" w:type="dxa"/>
            </w:tcMar>
            <w:vAlign w:val="center"/>
          </w:tcPr>
          <w:p w14:paraId="2B7D5D2F">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450" w:type="pct"/>
            <w:shd w:val="clear" w:color="auto" w:fill="auto"/>
            <w:tcMar>
              <w:top w:w="72" w:type="dxa"/>
              <w:left w:w="144" w:type="dxa"/>
              <w:bottom w:w="72" w:type="dxa"/>
              <w:right w:w="144" w:type="dxa"/>
            </w:tcMar>
            <w:vAlign w:val="center"/>
          </w:tcPr>
          <w:p w14:paraId="6F38AF7B">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421" w:type="pct"/>
            <w:shd w:val="clear" w:color="auto" w:fill="auto"/>
            <w:tcMar>
              <w:top w:w="72" w:type="dxa"/>
              <w:left w:w="144" w:type="dxa"/>
              <w:bottom w:w="72" w:type="dxa"/>
              <w:right w:w="144" w:type="dxa"/>
            </w:tcMar>
            <w:vAlign w:val="center"/>
          </w:tcPr>
          <w:p w14:paraId="65654DEB">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1180" w:type="pct"/>
            <w:shd w:val="clear" w:color="auto" w:fill="auto"/>
            <w:tcMar>
              <w:top w:w="72" w:type="dxa"/>
              <w:left w:w="144" w:type="dxa"/>
              <w:bottom w:w="72" w:type="dxa"/>
              <w:right w:w="144" w:type="dxa"/>
            </w:tcMar>
            <w:vAlign w:val="center"/>
          </w:tcPr>
          <w:p w14:paraId="58438B13">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鱼类增殖站</w:t>
            </w:r>
          </w:p>
        </w:tc>
      </w:tr>
      <w:tr w14:paraId="29C09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55" w:type="pct"/>
            <w:shd w:val="clear" w:color="auto" w:fill="auto"/>
            <w:tcMar>
              <w:top w:w="72" w:type="dxa"/>
              <w:left w:w="144" w:type="dxa"/>
              <w:bottom w:w="72" w:type="dxa"/>
              <w:right w:w="144" w:type="dxa"/>
            </w:tcMar>
            <w:vAlign w:val="center"/>
          </w:tcPr>
          <w:p w14:paraId="7F479A6F">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526" w:type="pct"/>
            <w:shd w:val="clear" w:color="auto" w:fill="auto"/>
            <w:tcMar>
              <w:top w:w="72" w:type="dxa"/>
              <w:left w:w="144" w:type="dxa"/>
              <w:bottom w:w="72" w:type="dxa"/>
              <w:right w:w="144" w:type="dxa"/>
            </w:tcMar>
            <w:vAlign w:val="center"/>
          </w:tcPr>
          <w:p w14:paraId="6BA97121">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1312（原H3）</w:t>
            </w:r>
          </w:p>
        </w:tc>
        <w:tc>
          <w:tcPr>
            <w:tcW w:w="743" w:type="pct"/>
            <w:shd w:val="clear" w:color="auto" w:fill="auto"/>
            <w:tcMar>
              <w:top w:w="72" w:type="dxa"/>
              <w:left w:w="144" w:type="dxa"/>
              <w:bottom w:w="72" w:type="dxa"/>
              <w:right w:w="144" w:type="dxa"/>
            </w:tcMar>
            <w:vAlign w:val="center"/>
          </w:tcPr>
          <w:p w14:paraId="5E9BD675">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其他公用设施用地</w:t>
            </w:r>
          </w:p>
        </w:tc>
        <w:tc>
          <w:tcPr>
            <w:tcW w:w="403" w:type="pct"/>
            <w:shd w:val="clear" w:color="auto" w:fill="auto"/>
            <w:tcMar>
              <w:top w:w="72" w:type="dxa"/>
              <w:left w:w="144" w:type="dxa"/>
              <w:bottom w:w="72" w:type="dxa"/>
              <w:right w:w="144" w:type="dxa"/>
            </w:tcMar>
            <w:vAlign w:val="center"/>
          </w:tcPr>
          <w:p w14:paraId="0BF626B3">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5.70</w:t>
            </w:r>
          </w:p>
        </w:tc>
        <w:tc>
          <w:tcPr>
            <w:tcW w:w="403" w:type="pct"/>
            <w:shd w:val="clear" w:color="auto" w:fill="auto"/>
            <w:tcMar>
              <w:top w:w="72" w:type="dxa"/>
              <w:left w:w="144" w:type="dxa"/>
              <w:bottom w:w="72" w:type="dxa"/>
              <w:right w:w="144" w:type="dxa"/>
            </w:tcMar>
            <w:vAlign w:val="center"/>
          </w:tcPr>
          <w:p w14:paraId="2376582D">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614" w:type="pct"/>
            <w:shd w:val="clear" w:color="auto" w:fill="auto"/>
            <w:tcMar>
              <w:top w:w="72" w:type="dxa"/>
              <w:left w:w="144" w:type="dxa"/>
              <w:bottom w:w="72" w:type="dxa"/>
              <w:right w:w="144" w:type="dxa"/>
            </w:tcMar>
            <w:vAlign w:val="center"/>
          </w:tcPr>
          <w:p w14:paraId="632F16EB">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450" w:type="pct"/>
            <w:shd w:val="clear" w:color="auto" w:fill="auto"/>
            <w:tcMar>
              <w:top w:w="72" w:type="dxa"/>
              <w:left w:w="144" w:type="dxa"/>
              <w:bottom w:w="72" w:type="dxa"/>
              <w:right w:w="144" w:type="dxa"/>
            </w:tcMar>
            <w:vAlign w:val="center"/>
          </w:tcPr>
          <w:p w14:paraId="696909CA">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421" w:type="pct"/>
            <w:shd w:val="clear" w:color="auto" w:fill="auto"/>
            <w:tcMar>
              <w:top w:w="72" w:type="dxa"/>
              <w:left w:w="144" w:type="dxa"/>
              <w:bottom w:w="72" w:type="dxa"/>
              <w:right w:w="144" w:type="dxa"/>
            </w:tcMar>
            <w:vAlign w:val="center"/>
          </w:tcPr>
          <w:p w14:paraId="35253D08">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1180" w:type="pct"/>
            <w:shd w:val="clear" w:color="auto" w:fill="auto"/>
            <w:tcMar>
              <w:top w:w="72" w:type="dxa"/>
              <w:left w:w="144" w:type="dxa"/>
              <w:bottom w:w="72" w:type="dxa"/>
              <w:right w:w="144" w:type="dxa"/>
            </w:tcMar>
            <w:vAlign w:val="center"/>
          </w:tcPr>
          <w:p w14:paraId="3D502430">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业主营地</w:t>
            </w:r>
          </w:p>
        </w:tc>
      </w:tr>
      <w:tr w14:paraId="6545F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55" w:type="pct"/>
            <w:shd w:val="clear" w:color="auto" w:fill="auto"/>
            <w:tcMar>
              <w:top w:w="72" w:type="dxa"/>
              <w:left w:w="144" w:type="dxa"/>
              <w:bottom w:w="72" w:type="dxa"/>
              <w:right w:w="144" w:type="dxa"/>
            </w:tcMar>
            <w:vAlign w:val="center"/>
          </w:tcPr>
          <w:p w14:paraId="74FEA35E">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526" w:type="pct"/>
            <w:shd w:val="clear" w:color="auto" w:fill="auto"/>
            <w:tcMar>
              <w:top w:w="72" w:type="dxa"/>
              <w:left w:w="144" w:type="dxa"/>
              <w:bottom w:w="72" w:type="dxa"/>
              <w:right w:w="144" w:type="dxa"/>
            </w:tcMar>
            <w:vAlign w:val="center"/>
          </w:tcPr>
          <w:p w14:paraId="70EC6DD9">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1312（原H3）</w:t>
            </w:r>
          </w:p>
        </w:tc>
        <w:tc>
          <w:tcPr>
            <w:tcW w:w="743" w:type="pct"/>
            <w:shd w:val="clear" w:color="auto" w:fill="auto"/>
            <w:tcMar>
              <w:top w:w="72" w:type="dxa"/>
              <w:left w:w="144" w:type="dxa"/>
              <w:bottom w:w="72" w:type="dxa"/>
              <w:right w:w="144" w:type="dxa"/>
            </w:tcMar>
            <w:vAlign w:val="center"/>
          </w:tcPr>
          <w:p w14:paraId="6F529E17">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其他公用设施用地</w:t>
            </w:r>
          </w:p>
        </w:tc>
        <w:tc>
          <w:tcPr>
            <w:tcW w:w="403" w:type="pct"/>
            <w:shd w:val="clear" w:color="auto" w:fill="auto"/>
            <w:tcMar>
              <w:top w:w="72" w:type="dxa"/>
              <w:left w:w="144" w:type="dxa"/>
              <w:bottom w:w="72" w:type="dxa"/>
              <w:right w:w="144" w:type="dxa"/>
            </w:tcMar>
            <w:vAlign w:val="center"/>
          </w:tcPr>
          <w:p w14:paraId="26902B70">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29.31</w:t>
            </w:r>
          </w:p>
        </w:tc>
        <w:tc>
          <w:tcPr>
            <w:tcW w:w="403" w:type="pct"/>
            <w:shd w:val="clear" w:color="auto" w:fill="auto"/>
            <w:tcMar>
              <w:top w:w="72" w:type="dxa"/>
              <w:left w:w="144" w:type="dxa"/>
              <w:bottom w:w="72" w:type="dxa"/>
              <w:right w:w="144" w:type="dxa"/>
            </w:tcMar>
            <w:vAlign w:val="center"/>
          </w:tcPr>
          <w:p w14:paraId="31AF5E69">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614" w:type="pct"/>
            <w:shd w:val="clear" w:color="auto" w:fill="auto"/>
            <w:tcMar>
              <w:top w:w="72" w:type="dxa"/>
              <w:left w:w="144" w:type="dxa"/>
              <w:bottom w:w="72" w:type="dxa"/>
              <w:right w:w="144" w:type="dxa"/>
            </w:tcMar>
            <w:vAlign w:val="center"/>
          </w:tcPr>
          <w:p w14:paraId="51B2CD4E">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450" w:type="pct"/>
            <w:shd w:val="clear" w:color="auto" w:fill="auto"/>
            <w:tcMar>
              <w:top w:w="72" w:type="dxa"/>
              <w:left w:w="144" w:type="dxa"/>
              <w:bottom w:w="72" w:type="dxa"/>
              <w:right w:w="144" w:type="dxa"/>
            </w:tcMar>
            <w:vAlign w:val="center"/>
          </w:tcPr>
          <w:p w14:paraId="2519ACDD">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421" w:type="pct"/>
            <w:shd w:val="clear" w:color="auto" w:fill="auto"/>
            <w:tcMar>
              <w:top w:w="72" w:type="dxa"/>
              <w:left w:w="144" w:type="dxa"/>
              <w:bottom w:w="72" w:type="dxa"/>
              <w:right w:w="144" w:type="dxa"/>
            </w:tcMar>
            <w:vAlign w:val="center"/>
          </w:tcPr>
          <w:p w14:paraId="7AAB5269">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p>
        </w:tc>
        <w:tc>
          <w:tcPr>
            <w:tcW w:w="1180" w:type="pct"/>
            <w:shd w:val="clear" w:color="auto" w:fill="auto"/>
            <w:tcMar>
              <w:top w:w="72" w:type="dxa"/>
              <w:left w:w="144" w:type="dxa"/>
              <w:bottom w:w="72" w:type="dxa"/>
              <w:right w:w="144" w:type="dxa"/>
            </w:tcMar>
            <w:vAlign w:val="center"/>
          </w:tcPr>
          <w:p w14:paraId="5E29DBDA">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江岸观景区</w:t>
            </w:r>
          </w:p>
        </w:tc>
      </w:tr>
      <w:tr w14:paraId="4A581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5000" w:type="pct"/>
            <w:gridSpan w:val="9"/>
            <w:shd w:val="clear" w:color="auto" w:fill="auto"/>
            <w:tcMar>
              <w:top w:w="72" w:type="dxa"/>
              <w:left w:w="144" w:type="dxa"/>
              <w:bottom w:w="72" w:type="dxa"/>
              <w:right w:w="144" w:type="dxa"/>
            </w:tcMar>
            <w:vAlign w:val="center"/>
          </w:tcPr>
          <w:p w14:paraId="770BC4A6">
            <w:pPr>
              <w:pStyle w:val="5"/>
              <w:keepNext w:val="0"/>
              <w:keepLines w:val="0"/>
              <w:widowControl/>
              <w:suppressLineNumbers w:val="0"/>
              <w:jc w:val="center"/>
              <w:rPr>
                <w:rFonts w:hint="default" w:ascii="仿宋_GB2312" w:hAnsi="仿宋_GB2312" w:eastAsia="仿宋_GB2312" w:cs="仿宋_GB2312"/>
                <w:color w:val="auto"/>
                <w:sz w:val="21"/>
                <w:szCs w:val="21"/>
                <w:lang w:val="en-US"/>
              </w:rPr>
            </w:pPr>
            <w:r>
              <w:rPr>
                <w:rFonts w:hint="eastAsia" w:ascii="仿宋_GB2312" w:hAnsi="仿宋_GB2312" w:eastAsia="仿宋_GB2312" w:cs="仿宋_GB2312"/>
                <w:b/>
                <w:bCs/>
                <w:color w:val="auto"/>
                <w:sz w:val="21"/>
                <w:szCs w:val="21"/>
              </w:rPr>
              <w:t>项目范围</w:t>
            </w:r>
            <w:r>
              <w:rPr>
                <w:rFonts w:hint="eastAsia" w:ascii="仿宋_GB2312" w:hAnsi="仿宋_GB2312" w:eastAsia="仿宋_GB2312" w:cs="仿宋_GB2312"/>
                <w:b/>
                <w:bCs/>
                <w:color w:val="auto"/>
                <w:sz w:val="21"/>
                <w:szCs w:val="21"/>
                <w:lang w:val="en-US" w:eastAsia="zh-CN"/>
              </w:rPr>
              <w:t>外用地指标</w:t>
            </w:r>
          </w:p>
        </w:tc>
      </w:tr>
      <w:tr w14:paraId="614AB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55" w:type="pct"/>
            <w:shd w:val="clear" w:color="auto" w:fill="auto"/>
            <w:tcMar>
              <w:top w:w="72" w:type="dxa"/>
              <w:left w:w="144" w:type="dxa"/>
              <w:bottom w:w="72" w:type="dxa"/>
              <w:right w:w="144" w:type="dxa"/>
            </w:tcMar>
            <w:vAlign w:val="center"/>
          </w:tcPr>
          <w:p w14:paraId="50E8B441">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526" w:type="pct"/>
            <w:shd w:val="clear" w:color="auto" w:fill="auto"/>
            <w:tcMar>
              <w:top w:w="72" w:type="dxa"/>
              <w:left w:w="144" w:type="dxa"/>
              <w:bottom w:w="72" w:type="dxa"/>
              <w:right w:w="144" w:type="dxa"/>
            </w:tcMar>
            <w:vAlign w:val="center"/>
          </w:tcPr>
          <w:p w14:paraId="6CF3AEFB">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1303（原U12）</w:t>
            </w:r>
          </w:p>
        </w:tc>
        <w:tc>
          <w:tcPr>
            <w:tcW w:w="743" w:type="pct"/>
            <w:shd w:val="clear" w:color="auto" w:fill="auto"/>
            <w:tcMar>
              <w:top w:w="72" w:type="dxa"/>
              <w:left w:w="144" w:type="dxa"/>
              <w:bottom w:w="72" w:type="dxa"/>
              <w:right w:w="144" w:type="dxa"/>
            </w:tcMar>
            <w:vAlign w:val="center"/>
          </w:tcPr>
          <w:p w14:paraId="052D86A0">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供电用地</w:t>
            </w:r>
          </w:p>
        </w:tc>
        <w:tc>
          <w:tcPr>
            <w:tcW w:w="403" w:type="pct"/>
            <w:shd w:val="clear" w:color="auto" w:fill="auto"/>
            <w:tcMar>
              <w:top w:w="72" w:type="dxa"/>
              <w:left w:w="144" w:type="dxa"/>
              <w:bottom w:w="72" w:type="dxa"/>
              <w:right w:w="144" w:type="dxa"/>
            </w:tcMar>
            <w:vAlign w:val="center"/>
          </w:tcPr>
          <w:p w14:paraId="6637BB6F">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1.65</w:t>
            </w:r>
          </w:p>
        </w:tc>
        <w:tc>
          <w:tcPr>
            <w:tcW w:w="403" w:type="pct"/>
            <w:shd w:val="clear" w:color="auto" w:fill="auto"/>
            <w:tcMar>
              <w:top w:w="72" w:type="dxa"/>
              <w:left w:w="144" w:type="dxa"/>
              <w:bottom w:w="72" w:type="dxa"/>
              <w:right w:w="144" w:type="dxa"/>
            </w:tcMar>
            <w:vAlign w:val="center"/>
          </w:tcPr>
          <w:p w14:paraId="6BF556D1">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614" w:type="pct"/>
            <w:shd w:val="clear" w:color="auto" w:fill="auto"/>
            <w:tcMar>
              <w:top w:w="72" w:type="dxa"/>
              <w:left w:w="144" w:type="dxa"/>
              <w:bottom w:w="72" w:type="dxa"/>
              <w:right w:w="144" w:type="dxa"/>
            </w:tcMar>
            <w:vAlign w:val="center"/>
          </w:tcPr>
          <w:p w14:paraId="2D4C1444">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450" w:type="pct"/>
            <w:shd w:val="clear" w:color="auto" w:fill="auto"/>
            <w:tcMar>
              <w:top w:w="72" w:type="dxa"/>
              <w:left w:w="144" w:type="dxa"/>
              <w:bottom w:w="72" w:type="dxa"/>
              <w:right w:w="144" w:type="dxa"/>
            </w:tcMar>
            <w:vAlign w:val="center"/>
          </w:tcPr>
          <w:p w14:paraId="5421B1A6">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421" w:type="pct"/>
            <w:shd w:val="clear" w:color="auto" w:fill="auto"/>
            <w:tcMar>
              <w:top w:w="72" w:type="dxa"/>
              <w:left w:w="144" w:type="dxa"/>
              <w:bottom w:w="72" w:type="dxa"/>
              <w:right w:w="144" w:type="dxa"/>
            </w:tcMar>
            <w:vAlign w:val="center"/>
          </w:tcPr>
          <w:p w14:paraId="1499A8FF">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1180" w:type="pct"/>
            <w:shd w:val="clear" w:color="auto" w:fill="auto"/>
            <w:tcMar>
              <w:top w:w="72" w:type="dxa"/>
              <w:left w:w="144" w:type="dxa"/>
              <w:bottom w:w="72" w:type="dxa"/>
              <w:right w:w="144" w:type="dxa"/>
            </w:tcMar>
            <w:vAlign w:val="center"/>
          </w:tcPr>
          <w:p w14:paraId="0A8C2670">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110kV 变电站</w:t>
            </w:r>
          </w:p>
        </w:tc>
      </w:tr>
      <w:tr w14:paraId="722A9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55" w:type="pct"/>
            <w:shd w:val="clear" w:color="auto" w:fill="auto"/>
            <w:tcMar>
              <w:top w:w="72" w:type="dxa"/>
              <w:left w:w="144" w:type="dxa"/>
              <w:bottom w:w="72" w:type="dxa"/>
              <w:right w:w="144" w:type="dxa"/>
            </w:tcMar>
            <w:vAlign w:val="center"/>
          </w:tcPr>
          <w:p w14:paraId="35FFB0AC">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526" w:type="pct"/>
            <w:shd w:val="clear" w:color="auto" w:fill="auto"/>
            <w:tcMar>
              <w:top w:w="72" w:type="dxa"/>
              <w:left w:w="144" w:type="dxa"/>
              <w:bottom w:w="72" w:type="dxa"/>
              <w:right w:w="144" w:type="dxa"/>
            </w:tcMar>
            <w:vAlign w:val="center"/>
          </w:tcPr>
          <w:p w14:paraId="3DF8746A">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1402（原G2）</w:t>
            </w:r>
          </w:p>
        </w:tc>
        <w:tc>
          <w:tcPr>
            <w:tcW w:w="743" w:type="pct"/>
            <w:shd w:val="clear" w:color="auto" w:fill="auto"/>
            <w:tcMar>
              <w:top w:w="72" w:type="dxa"/>
              <w:left w:w="144" w:type="dxa"/>
              <w:bottom w:w="72" w:type="dxa"/>
              <w:right w:w="144" w:type="dxa"/>
            </w:tcMar>
            <w:vAlign w:val="center"/>
          </w:tcPr>
          <w:p w14:paraId="2A061823">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防护绿地</w:t>
            </w:r>
          </w:p>
        </w:tc>
        <w:tc>
          <w:tcPr>
            <w:tcW w:w="403" w:type="pct"/>
            <w:shd w:val="clear" w:color="auto" w:fill="auto"/>
            <w:tcMar>
              <w:top w:w="72" w:type="dxa"/>
              <w:left w:w="144" w:type="dxa"/>
              <w:bottom w:w="72" w:type="dxa"/>
              <w:right w:w="144" w:type="dxa"/>
            </w:tcMar>
            <w:vAlign w:val="center"/>
          </w:tcPr>
          <w:p w14:paraId="1B9B9071">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0.82</w:t>
            </w:r>
          </w:p>
        </w:tc>
        <w:tc>
          <w:tcPr>
            <w:tcW w:w="403" w:type="pct"/>
            <w:shd w:val="clear" w:color="auto" w:fill="auto"/>
            <w:tcMar>
              <w:top w:w="72" w:type="dxa"/>
              <w:left w:w="144" w:type="dxa"/>
              <w:bottom w:w="72" w:type="dxa"/>
              <w:right w:w="144" w:type="dxa"/>
            </w:tcMar>
            <w:vAlign w:val="center"/>
          </w:tcPr>
          <w:p w14:paraId="3ABD957A">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614" w:type="pct"/>
            <w:shd w:val="clear" w:color="auto" w:fill="auto"/>
            <w:tcMar>
              <w:top w:w="72" w:type="dxa"/>
              <w:left w:w="144" w:type="dxa"/>
              <w:bottom w:w="72" w:type="dxa"/>
              <w:right w:w="144" w:type="dxa"/>
            </w:tcMar>
            <w:vAlign w:val="center"/>
          </w:tcPr>
          <w:p w14:paraId="0E5AED98">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450" w:type="pct"/>
            <w:shd w:val="clear" w:color="auto" w:fill="auto"/>
            <w:tcMar>
              <w:top w:w="72" w:type="dxa"/>
              <w:left w:w="144" w:type="dxa"/>
              <w:bottom w:w="72" w:type="dxa"/>
              <w:right w:w="144" w:type="dxa"/>
            </w:tcMar>
            <w:vAlign w:val="center"/>
          </w:tcPr>
          <w:p w14:paraId="6B6F2C6E">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90</w:t>
            </w:r>
          </w:p>
        </w:tc>
        <w:tc>
          <w:tcPr>
            <w:tcW w:w="421" w:type="pct"/>
            <w:shd w:val="clear" w:color="auto" w:fill="auto"/>
            <w:tcMar>
              <w:top w:w="72" w:type="dxa"/>
              <w:left w:w="144" w:type="dxa"/>
              <w:bottom w:w="72" w:type="dxa"/>
              <w:right w:w="144" w:type="dxa"/>
            </w:tcMar>
            <w:vAlign w:val="center"/>
          </w:tcPr>
          <w:p w14:paraId="41332821">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1180" w:type="pct"/>
            <w:shd w:val="clear" w:color="auto" w:fill="auto"/>
            <w:tcMar>
              <w:top w:w="72" w:type="dxa"/>
              <w:left w:w="144" w:type="dxa"/>
              <w:bottom w:w="72" w:type="dxa"/>
              <w:right w:w="144" w:type="dxa"/>
            </w:tcMar>
            <w:vAlign w:val="center"/>
          </w:tcPr>
          <w:p w14:paraId="4ABE94EA">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调整道路左侧</w:t>
            </w:r>
          </w:p>
        </w:tc>
      </w:tr>
      <w:tr w14:paraId="55791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55" w:type="pct"/>
            <w:shd w:val="clear" w:color="auto" w:fill="auto"/>
            <w:tcMar>
              <w:top w:w="72" w:type="dxa"/>
              <w:left w:w="144" w:type="dxa"/>
              <w:bottom w:w="72" w:type="dxa"/>
              <w:right w:w="144" w:type="dxa"/>
            </w:tcMar>
            <w:vAlign w:val="center"/>
          </w:tcPr>
          <w:p w14:paraId="1F7FDB92">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526" w:type="pct"/>
            <w:shd w:val="clear" w:color="auto" w:fill="auto"/>
            <w:tcMar>
              <w:top w:w="72" w:type="dxa"/>
              <w:left w:w="144" w:type="dxa"/>
              <w:bottom w:w="72" w:type="dxa"/>
              <w:right w:w="144" w:type="dxa"/>
            </w:tcMar>
            <w:vAlign w:val="center"/>
          </w:tcPr>
          <w:p w14:paraId="36885BF5">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0701（原R2）</w:t>
            </w:r>
          </w:p>
        </w:tc>
        <w:tc>
          <w:tcPr>
            <w:tcW w:w="743" w:type="pct"/>
            <w:shd w:val="clear" w:color="auto" w:fill="auto"/>
            <w:tcMar>
              <w:top w:w="72" w:type="dxa"/>
              <w:left w:w="144" w:type="dxa"/>
              <w:bottom w:w="72" w:type="dxa"/>
              <w:right w:w="144" w:type="dxa"/>
            </w:tcMar>
            <w:vAlign w:val="center"/>
          </w:tcPr>
          <w:p w14:paraId="5D65EC06">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城镇住宅用地</w:t>
            </w:r>
          </w:p>
        </w:tc>
        <w:tc>
          <w:tcPr>
            <w:tcW w:w="403" w:type="pct"/>
            <w:shd w:val="clear" w:color="auto" w:fill="auto"/>
            <w:tcMar>
              <w:top w:w="72" w:type="dxa"/>
              <w:left w:w="144" w:type="dxa"/>
              <w:bottom w:w="72" w:type="dxa"/>
              <w:right w:w="144" w:type="dxa"/>
            </w:tcMar>
            <w:vAlign w:val="center"/>
          </w:tcPr>
          <w:p w14:paraId="2F0E0F63">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1.93</w:t>
            </w:r>
          </w:p>
        </w:tc>
        <w:tc>
          <w:tcPr>
            <w:tcW w:w="403" w:type="pct"/>
            <w:shd w:val="clear" w:color="auto" w:fill="auto"/>
            <w:tcMar>
              <w:top w:w="72" w:type="dxa"/>
              <w:left w:w="144" w:type="dxa"/>
              <w:bottom w:w="72" w:type="dxa"/>
              <w:right w:w="144" w:type="dxa"/>
            </w:tcMar>
            <w:vAlign w:val="center"/>
          </w:tcPr>
          <w:p w14:paraId="26EFEC07">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35</w:t>
            </w:r>
          </w:p>
        </w:tc>
        <w:tc>
          <w:tcPr>
            <w:tcW w:w="614" w:type="pct"/>
            <w:shd w:val="clear" w:color="auto" w:fill="auto"/>
            <w:tcMar>
              <w:top w:w="72" w:type="dxa"/>
              <w:left w:w="144" w:type="dxa"/>
              <w:bottom w:w="72" w:type="dxa"/>
              <w:right w:w="144" w:type="dxa"/>
            </w:tcMar>
            <w:vAlign w:val="center"/>
          </w:tcPr>
          <w:p w14:paraId="7D91836B">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1.0＜FAR≤2.0</w:t>
            </w:r>
          </w:p>
        </w:tc>
        <w:tc>
          <w:tcPr>
            <w:tcW w:w="450" w:type="pct"/>
            <w:shd w:val="clear" w:color="auto" w:fill="auto"/>
            <w:tcMar>
              <w:top w:w="72" w:type="dxa"/>
              <w:left w:w="144" w:type="dxa"/>
              <w:bottom w:w="72" w:type="dxa"/>
              <w:right w:w="144" w:type="dxa"/>
            </w:tcMar>
            <w:vAlign w:val="center"/>
          </w:tcPr>
          <w:p w14:paraId="310840DB">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30</w:t>
            </w:r>
          </w:p>
        </w:tc>
        <w:tc>
          <w:tcPr>
            <w:tcW w:w="421" w:type="pct"/>
            <w:shd w:val="clear" w:color="auto" w:fill="auto"/>
            <w:tcMar>
              <w:top w:w="72" w:type="dxa"/>
              <w:left w:w="144" w:type="dxa"/>
              <w:bottom w:w="72" w:type="dxa"/>
              <w:right w:w="144" w:type="dxa"/>
            </w:tcMar>
            <w:vAlign w:val="center"/>
          </w:tcPr>
          <w:p w14:paraId="6D0531DA">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40</w:t>
            </w:r>
          </w:p>
        </w:tc>
        <w:tc>
          <w:tcPr>
            <w:tcW w:w="1180" w:type="pct"/>
            <w:shd w:val="clear" w:color="auto" w:fill="auto"/>
            <w:tcMar>
              <w:top w:w="72" w:type="dxa"/>
              <w:left w:w="144" w:type="dxa"/>
              <w:bottom w:w="72" w:type="dxa"/>
              <w:right w:w="144" w:type="dxa"/>
            </w:tcMar>
            <w:vAlign w:val="center"/>
          </w:tcPr>
          <w:p w14:paraId="48C223DF">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兼容20%商业用地，调整道路左侧</w:t>
            </w:r>
          </w:p>
        </w:tc>
      </w:tr>
      <w:tr w14:paraId="3619C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55" w:type="pct"/>
            <w:shd w:val="clear" w:color="auto" w:fill="auto"/>
            <w:tcMar>
              <w:top w:w="72" w:type="dxa"/>
              <w:left w:w="144" w:type="dxa"/>
              <w:bottom w:w="72" w:type="dxa"/>
              <w:right w:w="144" w:type="dxa"/>
            </w:tcMar>
            <w:vAlign w:val="center"/>
          </w:tcPr>
          <w:p w14:paraId="44992114">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526" w:type="pct"/>
            <w:shd w:val="clear" w:color="auto" w:fill="auto"/>
            <w:tcMar>
              <w:top w:w="72" w:type="dxa"/>
              <w:left w:w="144" w:type="dxa"/>
              <w:bottom w:w="72" w:type="dxa"/>
              <w:right w:w="144" w:type="dxa"/>
            </w:tcMar>
            <w:vAlign w:val="center"/>
          </w:tcPr>
          <w:p w14:paraId="452C4653">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1402（原G2）</w:t>
            </w:r>
          </w:p>
        </w:tc>
        <w:tc>
          <w:tcPr>
            <w:tcW w:w="743" w:type="pct"/>
            <w:shd w:val="clear" w:color="auto" w:fill="auto"/>
            <w:tcMar>
              <w:top w:w="72" w:type="dxa"/>
              <w:left w:w="144" w:type="dxa"/>
              <w:bottom w:w="72" w:type="dxa"/>
              <w:right w:w="144" w:type="dxa"/>
            </w:tcMar>
            <w:vAlign w:val="center"/>
          </w:tcPr>
          <w:p w14:paraId="3CFC096A">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防护绿地</w:t>
            </w:r>
          </w:p>
        </w:tc>
        <w:tc>
          <w:tcPr>
            <w:tcW w:w="403" w:type="pct"/>
            <w:shd w:val="clear" w:color="auto" w:fill="auto"/>
            <w:tcMar>
              <w:top w:w="72" w:type="dxa"/>
              <w:left w:w="144" w:type="dxa"/>
              <w:bottom w:w="72" w:type="dxa"/>
              <w:right w:w="144" w:type="dxa"/>
            </w:tcMar>
            <w:vAlign w:val="center"/>
          </w:tcPr>
          <w:p w14:paraId="4EE1D0D8">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1.64</w:t>
            </w:r>
          </w:p>
        </w:tc>
        <w:tc>
          <w:tcPr>
            <w:tcW w:w="403" w:type="pct"/>
            <w:shd w:val="clear" w:color="auto" w:fill="auto"/>
            <w:tcMar>
              <w:top w:w="72" w:type="dxa"/>
              <w:left w:w="144" w:type="dxa"/>
              <w:bottom w:w="72" w:type="dxa"/>
              <w:right w:w="144" w:type="dxa"/>
            </w:tcMar>
            <w:vAlign w:val="center"/>
          </w:tcPr>
          <w:p w14:paraId="0F9C3167">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614" w:type="pct"/>
            <w:shd w:val="clear" w:color="auto" w:fill="auto"/>
            <w:tcMar>
              <w:top w:w="72" w:type="dxa"/>
              <w:left w:w="144" w:type="dxa"/>
              <w:bottom w:w="72" w:type="dxa"/>
              <w:right w:w="144" w:type="dxa"/>
            </w:tcMar>
            <w:vAlign w:val="center"/>
          </w:tcPr>
          <w:p w14:paraId="4195AE9F">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450" w:type="pct"/>
            <w:shd w:val="clear" w:color="auto" w:fill="auto"/>
            <w:tcMar>
              <w:top w:w="72" w:type="dxa"/>
              <w:left w:w="144" w:type="dxa"/>
              <w:bottom w:w="72" w:type="dxa"/>
              <w:right w:w="144" w:type="dxa"/>
            </w:tcMar>
            <w:vAlign w:val="center"/>
          </w:tcPr>
          <w:p w14:paraId="3E62B0EE">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90</w:t>
            </w:r>
          </w:p>
        </w:tc>
        <w:tc>
          <w:tcPr>
            <w:tcW w:w="421" w:type="pct"/>
            <w:shd w:val="clear" w:color="auto" w:fill="auto"/>
            <w:tcMar>
              <w:top w:w="72" w:type="dxa"/>
              <w:left w:w="144" w:type="dxa"/>
              <w:bottom w:w="72" w:type="dxa"/>
              <w:right w:w="144" w:type="dxa"/>
            </w:tcMar>
            <w:vAlign w:val="center"/>
          </w:tcPr>
          <w:p w14:paraId="75B21307">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1180" w:type="pct"/>
            <w:shd w:val="clear" w:color="auto" w:fill="auto"/>
            <w:tcMar>
              <w:top w:w="72" w:type="dxa"/>
              <w:left w:w="144" w:type="dxa"/>
              <w:bottom w:w="72" w:type="dxa"/>
              <w:right w:w="144" w:type="dxa"/>
            </w:tcMar>
            <w:vAlign w:val="center"/>
          </w:tcPr>
          <w:p w14:paraId="77DD1468">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调整道路右侧</w:t>
            </w:r>
          </w:p>
        </w:tc>
      </w:tr>
      <w:tr w14:paraId="7E46A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55" w:type="pct"/>
            <w:shd w:val="clear" w:color="auto" w:fill="auto"/>
            <w:tcMar>
              <w:top w:w="72" w:type="dxa"/>
              <w:left w:w="144" w:type="dxa"/>
              <w:bottom w:w="72" w:type="dxa"/>
              <w:right w:w="144" w:type="dxa"/>
            </w:tcMar>
            <w:vAlign w:val="center"/>
          </w:tcPr>
          <w:p w14:paraId="40C9123A">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526" w:type="pct"/>
            <w:shd w:val="clear" w:color="auto" w:fill="auto"/>
            <w:tcMar>
              <w:top w:w="72" w:type="dxa"/>
              <w:left w:w="144" w:type="dxa"/>
              <w:bottom w:w="72" w:type="dxa"/>
              <w:right w:w="144" w:type="dxa"/>
            </w:tcMar>
            <w:vAlign w:val="center"/>
          </w:tcPr>
          <w:p w14:paraId="45B9EE97">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0701（原R2）</w:t>
            </w:r>
          </w:p>
        </w:tc>
        <w:tc>
          <w:tcPr>
            <w:tcW w:w="743" w:type="pct"/>
            <w:shd w:val="clear" w:color="auto" w:fill="auto"/>
            <w:tcMar>
              <w:top w:w="72" w:type="dxa"/>
              <w:left w:w="144" w:type="dxa"/>
              <w:bottom w:w="72" w:type="dxa"/>
              <w:right w:w="144" w:type="dxa"/>
            </w:tcMar>
            <w:vAlign w:val="center"/>
          </w:tcPr>
          <w:p w14:paraId="06E3E042">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城镇住宅用地</w:t>
            </w:r>
          </w:p>
        </w:tc>
        <w:tc>
          <w:tcPr>
            <w:tcW w:w="403" w:type="pct"/>
            <w:shd w:val="clear" w:color="auto" w:fill="auto"/>
            <w:tcMar>
              <w:top w:w="72" w:type="dxa"/>
              <w:left w:w="144" w:type="dxa"/>
              <w:bottom w:w="72" w:type="dxa"/>
              <w:right w:w="144" w:type="dxa"/>
            </w:tcMar>
            <w:vAlign w:val="center"/>
          </w:tcPr>
          <w:p w14:paraId="557B68B8">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6.50</w:t>
            </w:r>
          </w:p>
        </w:tc>
        <w:tc>
          <w:tcPr>
            <w:tcW w:w="403" w:type="pct"/>
            <w:shd w:val="clear" w:color="auto" w:fill="auto"/>
            <w:tcMar>
              <w:top w:w="72" w:type="dxa"/>
              <w:left w:w="144" w:type="dxa"/>
              <w:bottom w:w="72" w:type="dxa"/>
              <w:right w:w="144" w:type="dxa"/>
            </w:tcMar>
            <w:vAlign w:val="center"/>
          </w:tcPr>
          <w:p w14:paraId="716B5E26">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35</w:t>
            </w:r>
          </w:p>
        </w:tc>
        <w:tc>
          <w:tcPr>
            <w:tcW w:w="614" w:type="pct"/>
            <w:shd w:val="clear" w:color="auto" w:fill="auto"/>
            <w:tcMar>
              <w:top w:w="72" w:type="dxa"/>
              <w:left w:w="144" w:type="dxa"/>
              <w:bottom w:w="72" w:type="dxa"/>
              <w:right w:w="144" w:type="dxa"/>
            </w:tcMar>
            <w:vAlign w:val="center"/>
          </w:tcPr>
          <w:p w14:paraId="77366F81">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1.0＜FAR≤2.0</w:t>
            </w:r>
          </w:p>
        </w:tc>
        <w:tc>
          <w:tcPr>
            <w:tcW w:w="450" w:type="pct"/>
            <w:shd w:val="clear" w:color="auto" w:fill="auto"/>
            <w:tcMar>
              <w:top w:w="72" w:type="dxa"/>
              <w:left w:w="144" w:type="dxa"/>
              <w:bottom w:w="72" w:type="dxa"/>
              <w:right w:w="144" w:type="dxa"/>
            </w:tcMar>
            <w:vAlign w:val="center"/>
          </w:tcPr>
          <w:p w14:paraId="0CAB2C01">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30</w:t>
            </w:r>
          </w:p>
        </w:tc>
        <w:tc>
          <w:tcPr>
            <w:tcW w:w="421" w:type="pct"/>
            <w:shd w:val="clear" w:color="auto" w:fill="auto"/>
            <w:tcMar>
              <w:top w:w="72" w:type="dxa"/>
              <w:left w:w="144" w:type="dxa"/>
              <w:bottom w:w="72" w:type="dxa"/>
              <w:right w:w="144" w:type="dxa"/>
            </w:tcMar>
            <w:vAlign w:val="center"/>
          </w:tcPr>
          <w:p w14:paraId="04BF0B9D">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40</w:t>
            </w:r>
          </w:p>
        </w:tc>
        <w:tc>
          <w:tcPr>
            <w:tcW w:w="1180" w:type="pct"/>
            <w:shd w:val="clear" w:color="auto" w:fill="auto"/>
            <w:tcMar>
              <w:top w:w="72" w:type="dxa"/>
              <w:left w:w="144" w:type="dxa"/>
              <w:bottom w:w="72" w:type="dxa"/>
              <w:right w:w="144" w:type="dxa"/>
            </w:tcMar>
            <w:vAlign w:val="center"/>
          </w:tcPr>
          <w:p w14:paraId="09EBBC6C">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兼容20%商业用地，调整道路右侧</w:t>
            </w:r>
          </w:p>
        </w:tc>
      </w:tr>
      <w:tr w14:paraId="4F7A2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55" w:type="pct"/>
            <w:shd w:val="clear" w:color="auto" w:fill="auto"/>
            <w:tcMar>
              <w:top w:w="72" w:type="dxa"/>
              <w:left w:w="144" w:type="dxa"/>
              <w:bottom w:w="72" w:type="dxa"/>
              <w:right w:w="144" w:type="dxa"/>
            </w:tcMar>
            <w:vAlign w:val="center"/>
          </w:tcPr>
          <w:p w14:paraId="6AF1504E">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526" w:type="pct"/>
            <w:shd w:val="clear" w:color="auto" w:fill="auto"/>
            <w:tcMar>
              <w:top w:w="72" w:type="dxa"/>
              <w:left w:w="144" w:type="dxa"/>
              <w:bottom w:w="72" w:type="dxa"/>
              <w:right w:w="144" w:type="dxa"/>
            </w:tcMar>
            <w:vAlign w:val="center"/>
          </w:tcPr>
          <w:p w14:paraId="3091C845">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1202（原S1）</w:t>
            </w:r>
          </w:p>
        </w:tc>
        <w:tc>
          <w:tcPr>
            <w:tcW w:w="743" w:type="pct"/>
            <w:shd w:val="clear" w:color="auto" w:fill="auto"/>
            <w:tcMar>
              <w:top w:w="72" w:type="dxa"/>
              <w:left w:w="144" w:type="dxa"/>
              <w:bottom w:w="72" w:type="dxa"/>
              <w:right w:w="144" w:type="dxa"/>
            </w:tcMar>
            <w:vAlign w:val="center"/>
          </w:tcPr>
          <w:p w14:paraId="45E2A11C">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公路用地</w:t>
            </w:r>
          </w:p>
        </w:tc>
        <w:tc>
          <w:tcPr>
            <w:tcW w:w="403" w:type="pct"/>
            <w:shd w:val="clear" w:color="auto" w:fill="auto"/>
            <w:tcMar>
              <w:top w:w="72" w:type="dxa"/>
              <w:left w:w="144" w:type="dxa"/>
              <w:bottom w:w="72" w:type="dxa"/>
              <w:right w:w="144" w:type="dxa"/>
            </w:tcMar>
            <w:vAlign w:val="center"/>
          </w:tcPr>
          <w:p w14:paraId="7561DA90">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0.59</w:t>
            </w:r>
          </w:p>
        </w:tc>
        <w:tc>
          <w:tcPr>
            <w:tcW w:w="403" w:type="pct"/>
            <w:shd w:val="clear" w:color="auto" w:fill="auto"/>
            <w:tcMar>
              <w:top w:w="72" w:type="dxa"/>
              <w:left w:w="144" w:type="dxa"/>
              <w:bottom w:w="72" w:type="dxa"/>
              <w:right w:w="144" w:type="dxa"/>
            </w:tcMar>
            <w:vAlign w:val="center"/>
          </w:tcPr>
          <w:p w14:paraId="6F04D203">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614" w:type="pct"/>
            <w:shd w:val="clear" w:color="auto" w:fill="auto"/>
            <w:tcMar>
              <w:top w:w="72" w:type="dxa"/>
              <w:left w:w="144" w:type="dxa"/>
              <w:bottom w:w="72" w:type="dxa"/>
              <w:right w:w="144" w:type="dxa"/>
            </w:tcMar>
            <w:vAlign w:val="center"/>
          </w:tcPr>
          <w:p w14:paraId="1FBD3C68">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450" w:type="pct"/>
            <w:shd w:val="clear" w:color="auto" w:fill="auto"/>
            <w:tcMar>
              <w:top w:w="72" w:type="dxa"/>
              <w:left w:w="144" w:type="dxa"/>
              <w:bottom w:w="72" w:type="dxa"/>
              <w:right w:w="144" w:type="dxa"/>
            </w:tcMar>
            <w:vAlign w:val="center"/>
          </w:tcPr>
          <w:p w14:paraId="382BF9BB">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421" w:type="pct"/>
            <w:shd w:val="clear" w:color="auto" w:fill="auto"/>
            <w:tcMar>
              <w:top w:w="72" w:type="dxa"/>
              <w:left w:w="144" w:type="dxa"/>
              <w:bottom w:w="72" w:type="dxa"/>
              <w:right w:w="144" w:type="dxa"/>
            </w:tcMar>
            <w:vAlign w:val="center"/>
          </w:tcPr>
          <w:p w14:paraId="1B305E3E">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w:t>
            </w:r>
          </w:p>
        </w:tc>
        <w:tc>
          <w:tcPr>
            <w:tcW w:w="1180" w:type="pct"/>
            <w:shd w:val="clear" w:color="auto" w:fill="auto"/>
            <w:tcMar>
              <w:top w:w="72" w:type="dxa"/>
              <w:left w:w="144" w:type="dxa"/>
              <w:bottom w:w="72" w:type="dxa"/>
              <w:right w:w="144" w:type="dxa"/>
            </w:tcMar>
            <w:vAlign w:val="center"/>
          </w:tcPr>
          <w:p w14:paraId="5E4D421E">
            <w:pPr>
              <w:pStyle w:val="5"/>
              <w:keepNext w:val="0"/>
              <w:keepLines w:val="0"/>
              <w:widowControl/>
              <w:suppressLineNumbers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sz w:val="21"/>
                <w:szCs w:val="21"/>
              </w:rPr>
              <w:t>调整道路</w:t>
            </w:r>
          </w:p>
        </w:tc>
      </w:tr>
    </w:tbl>
    <w:p w14:paraId="6CA6A42C">
      <w:pPr>
        <w:pStyle w:val="5"/>
        <w:widowControl/>
        <w:spacing w:beforeAutospacing="0" w:afterAutospacing="0" w:line="240" w:lineRule="auto"/>
        <w:ind w:firstLine="420" w:firstLineChars="200"/>
        <w:jc w:val="both"/>
        <w:rPr>
          <w:rFonts w:hint="default" w:ascii="仿宋_GB2312" w:hAnsi="仿宋_GB2312" w:eastAsia="仿宋_GB2312" w:cs="仿宋_GB2312"/>
          <w:color w:val="000000" w:themeColor="text1"/>
          <w:sz w:val="28"/>
          <w:szCs w:val="28"/>
          <w:shd w:val="clear" w:color="auto" w:fill="FFFFFF"/>
          <w:lang w:val="en-US" w:eastAsia="zh-CN" w:bidi="ar"/>
          <w14:textFill>
            <w14:solidFill>
              <w14:schemeClr w14:val="tx1"/>
            </w14:solidFill>
          </w14:textFill>
        </w:rPr>
      </w:pPr>
      <w:r>
        <w:rPr>
          <w:rFonts w:hint="default" w:ascii="仿宋_GB2312" w:hAnsi="仿宋_GB2312" w:eastAsia="仿宋_GB2312" w:cs="仿宋_GB2312"/>
          <w:color w:val="000000" w:themeColor="text1"/>
          <w:sz w:val="21"/>
          <w:szCs w:val="21"/>
          <w:shd w:val="clear" w:color="auto" w:fill="FFFFFF"/>
          <w:lang w:val="en-US" w:eastAsia="zh-CN" w:bidi="ar"/>
          <w14:textFill>
            <w14:solidFill>
              <w14:schemeClr w14:val="tx1"/>
            </w14:solidFill>
          </w14:textFill>
        </w:rPr>
        <w:t>注：调整后所有用地开发强度控制指标参照《犍为县县城控制性详细规划》和《乐山市城市城乡规划管理技术规定（2022年）》中各类建设用地开发强度控制指标进行管控。</w:t>
      </w:r>
    </w:p>
    <w:p w14:paraId="297A264D">
      <w:pPr>
        <w:pStyle w:val="5"/>
        <w:widowControl/>
        <w:shd w:val="clear" w:color="auto" w:fill="FFFFFF"/>
        <w:spacing w:beforeAutospacing="0" w:afterAutospacing="0" w:line="560" w:lineRule="exact"/>
        <w:ind w:firstLine="560" w:firstLineChars="200"/>
        <w:jc w:val="both"/>
        <w:rPr>
          <w:rFonts w:hint="default" w:ascii="仿宋_GB2312" w:hAnsi="仿宋_GB2312" w:eastAsia="仿宋_GB2312" w:cs="仿宋_GB2312"/>
          <w:color w:val="000000" w:themeColor="text1"/>
          <w:sz w:val="28"/>
          <w:szCs w:val="28"/>
          <w:shd w:val="clear" w:color="auto" w:fill="FFFFFF"/>
          <w:lang w:val="en-US" w:eastAsia="zh-CN" w:bidi="ar"/>
          <w14:textFill>
            <w14:solidFill>
              <w14:schemeClr w14:val="tx1"/>
            </w14:solidFill>
          </w14:textFill>
        </w:rPr>
        <w:sectPr>
          <w:pgSz w:w="16838" w:h="11906" w:orient="landscape"/>
          <w:pgMar w:top="1080" w:right="1440" w:bottom="1080" w:left="1440" w:header="851" w:footer="992" w:gutter="0"/>
          <w:pgNumType w:fmt="decimal"/>
          <w:cols w:space="425" w:num="1"/>
          <w:docGrid w:type="lines" w:linePitch="312" w:charSpace="0"/>
        </w:sectPr>
      </w:pPr>
    </w:p>
    <w:p w14:paraId="60A4B39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_GB2312" w:eastAsia="仿宋_GB2312" w:cs="Times New Roman"/>
          <w:sz w:val="28"/>
          <w:szCs w:val="28"/>
        </w:rPr>
      </w:pPr>
      <w:r>
        <w:rPr>
          <w:rFonts w:hint="eastAsia" w:ascii="仿宋_GB2312" w:eastAsia="仿宋_GB2312" w:cs="Times New Roman"/>
          <w:sz w:val="28"/>
          <w:szCs w:val="28"/>
        </w:rPr>
        <w:t>地块调整符合性：（1）本次调整符合犍为县“十四五”规划相关要求。（2）项目建设满足旅游接待功能需求，本次规划调整与《犍为县县城控制性详细规划》规划强制性内容不冲突，符合《犍为县县城控制性详细规划》相关要求。（3）项目处于岷江巴蜀文化旅游示范走廊（城市之脊）区域，符合中心城区北向发展方向，项目建设对构建中心城区空间结构有促进作用。本次规划调整与《犍为县国土空间总体规划（2021-2035年）》和《犍为县临港经济片区乡镇级国土空间总体规划（2021-2035年）》规划强制性内容不冲突，符合《犍为县国土空间总体规划（2021-2035年）》和《犍为县临港经济片区乡镇级国土空间总体规划（2021-2035年）》相关要求。（4）地块调整范围不涉及占用永久基本农田，不涉及占用生态保护红线，不完全位于城镇开发边界内的集中建设区，根据相关规定，本项目属于水利建设项目，可不纳入城镇开发边界内，本次规划调整符合犍为县国土空间规划相关要求。（5）通过本项目与城市之脊项目具体衔接，本项目江岸观景区与城市之脊犍为枢纽段规划道路和设计理念一致，协调两级绿道的贯穿，避免重复设计和重复建设，有利于本项目建设发展，有利于城市之脊犍为枢纽段尽早呈现。</w:t>
      </w:r>
    </w:p>
    <w:p w14:paraId="55DAFD1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_GB2312" w:eastAsia="仿宋_GB2312" w:cs="Times New Roman"/>
          <w:sz w:val="28"/>
          <w:szCs w:val="28"/>
        </w:rPr>
      </w:pPr>
      <w:r>
        <w:rPr>
          <w:rFonts w:hint="eastAsia" w:ascii="仿宋_GB2312" w:eastAsia="仿宋_GB2312" w:cs="Times New Roman"/>
          <w:sz w:val="28"/>
          <w:szCs w:val="28"/>
        </w:rPr>
        <w:t>地块调整合理性：（1）项目外部的凤凰北路、滨江北路为城市主干路，满足项目道路通行需求，同时项目建设对区域的道路交通无不良影响。项目内部主干道与控规道路紧密联系，便于项目对外交通，次干道、支路在项目内合理布局，满足项目通行需求，同时项目内部道路满足消防通道要求。（2）本次方案调整后，各项市政设施均能与项目顺利衔接，对片区市政设施无明显影响。（3）项目范围工程地质条件良好，适宜建设。（4）项目范围周边交通便捷，满足与金梦石化天益站的安全间距要求，对高压走廊留有足够的防护距离，满足高压线路保护走廊宽度控制，同时满足《乐山市三江岸线保护条例》相关要求。</w:t>
      </w:r>
    </w:p>
    <w:p w14:paraId="5862589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_GB2312" w:eastAsia="仿宋_GB2312" w:cs="Times New Roman"/>
          <w:sz w:val="28"/>
          <w:szCs w:val="28"/>
        </w:rPr>
      </w:pPr>
      <w:r>
        <w:rPr>
          <w:rFonts w:hint="eastAsia" w:ascii="仿宋_GB2312" w:eastAsia="仿宋_GB2312" w:cs="Times New Roman"/>
          <w:sz w:val="28"/>
          <w:szCs w:val="28"/>
        </w:rPr>
        <w:t>综合来看，本次规划调整论证报告依据《四川省城乡规划条例》（2011）第六十七条规定进行编制，具备合法性。符合上位国土空间总体规划相关要求，与国土空间总体规划能顺利衔接。对涉及调整的各类用地均进行了合理性分析，且调整后人均指标均满足相关规范标准要求。地块调整后，容积率、建筑密度、绿地率、建筑高度等控制指标参照《犍为县县城控制性详细规划》中各类建设用地开发强度控制指标进行管控。调整后不会对周边道路交通产生不良影响，控规中各项市政工程设施均能够满足项目需求。基于上述分析，本次调整合理可行。</w:t>
      </w:r>
    </w:p>
    <w:p w14:paraId="0B8D023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黑体" w:hAnsi="黑体" w:eastAsia="黑体" w:cs="黑体"/>
          <w:sz w:val="28"/>
          <w:szCs w:val="28"/>
        </w:rPr>
      </w:pPr>
      <w:bookmarkStart w:id="0" w:name="_GoBack"/>
      <w:bookmarkEnd w:id="0"/>
      <w:r>
        <w:rPr>
          <w:rFonts w:hint="eastAsia" w:ascii="黑体" w:hAnsi="黑体" w:eastAsia="黑体" w:cs="黑体"/>
          <w:sz w:val="28"/>
          <w:szCs w:val="28"/>
        </w:rPr>
        <w:t>四、建议</w:t>
      </w:r>
    </w:p>
    <w:p w14:paraId="779D076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_GB2312" w:eastAsia="仿宋_GB2312" w:cs="Times New Roman"/>
          <w:sz w:val="28"/>
          <w:szCs w:val="28"/>
        </w:rPr>
      </w:pPr>
      <w:r>
        <w:rPr>
          <w:rFonts w:hint="eastAsia" w:ascii="仿宋_GB2312" w:eastAsia="仿宋_GB2312" w:cs="Times New Roman"/>
          <w:sz w:val="28"/>
          <w:szCs w:val="28"/>
        </w:rPr>
        <w:t>项目需严格按程序落实完善相关手续，规划调整经批准实施后，须严格遵守规划要求进行设计和建设，禁止建设与用地性质和用地兼容性不符的建筑及设施，须严格按照规划管理部门出具的规划条件进行相关设计工作，本次调整内容后需与下一步的国土空间详细规划做充分衔接。</w:t>
      </w:r>
    </w:p>
    <w:sectPr>
      <w:footerReference r:id="rId5" w:type="default"/>
      <w:pgSz w:w="11906" w:h="16838"/>
      <w:pgMar w:top="2041" w:right="1468" w:bottom="1440" w:left="146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2168F">
    <w:pPr>
      <w:pStyle w:val="3"/>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773B3BF">
                          <w:pPr>
                            <w:pStyle w:val="3"/>
                            <w:ind w:left="420" w:leftChars="200" w:right="420" w:right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14:paraId="7773B3BF">
                    <w:pPr>
                      <w:pStyle w:val="3"/>
                      <w:ind w:left="420" w:leftChars="200" w:right="420" w:right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669A29"/>
    <w:multiLevelType w:val="singleLevel"/>
    <w:tmpl w:val="68669A2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JmYjllOWFhMTYxYzJlYmQ4NjNiMWFkMGFmZTVjM2EifQ=="/>
  </w:docVars>
  <w:rsids>
    <w:rsidRoot w:val="00CD78D7"/>
    <w:rsid w:val="002F1749"/>
    <w:rsid w:val="0054301F"/>
    <w:rsid w:val="00567082"/>
    <w:rsid w:val="008D7786"/>
    <w:rsid w:val="00A1494B"/>
    <w:rsid w:val="00B1342A"/>
    <w:rsid w:val="00CD78D7"/>
    <w:rsid w:val="08D02D98"/>
    <w:rsid w:val="0CB07B49"/>
    <w:rsid w:val="101E5851"/>
    <w:rsid w:val="10C61382"/>
    <w:rsid w:val="2CF05832"/>
    <w:rsid w:val="33EB6D57"/>
    <w:rsid w:val="76243F2E"/>
    <w:rsid w:val="76465F91"/>
    <w:rsid w:val="79FB1C8B"/>
    <w:rsid w:val="7CC20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10"/>
    <w:qFormat/>
    <w:uiPriority w:val="0"/>
    <w:pPr>
      <w:tabs>
        <w:tab w:val="center" w:pos="4153"/>
        <w:tab w:val="right" w:pos="8306"/>
      </w:tabs>
      <w:snapToGrid w:val="0"/>
      <w:spacing w:line="240" w:lineRule="auto"/>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customStyle="1" w:styleId="10">
    <w:name w:val="页眉 字符"/>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3223</Words>
  <Characters>3591</Characters>
  <Lines>6</Lines>
  <Paragraphs>1</Paragraphs>
  <TotalTime>2</TotalTime>
  <ScaleCrop>false</ScaleCrop>
  <LinksUpToDate>false</LinksUpToDate>
  <CharactersWithSpaces>3592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2024-06-27T07:42:00Z</dcterms:created>
  <dc:creator>Ay~nature.</dc:creator>
  <cp:lastModifiedBy>安安</cp:lastModifiedBy>
  <cp:lastPrinted>2024-10-24T09:32:00Z</cp:lastPrinted>
  <dcterms:modified xsi:type="dcterms:W3CDTF">2024-11-25T03:01:31Z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e3b3c32f2a4b4852b3133a083a8a049c</vt:lpwstr>
  </property>
</Properties>
</file>