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B37E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bookmarkStart w:id="0" w:name="OLE_LINK1"/>
      <w:r>
        <w:rPr>
          <w:rFonts w:hint="eastAsia" w:ascii="方正小标宋简体" w:eastAsia="方正小标宋简体"/>
          <w:sz w:val="44"/>
          <w:szCs w:val="44"/>
        </w:rPr>
        <w:t>犍为县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居民用气销售价格顺价调整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方案</w:t>
      </w:r>
    </w:p>
    <w:bookmarkEnd w:id="0"/>
    <w:p w14:paraId="2914FC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（征求意见稿）</w:t>
      </w:r>
    </w:p>
    <w:p w14:paraId="01B84EC1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BB7EAB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bookmarkStart w:id="1" w:name="OLE_LINK2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《四川省发展和改革委员会关于理顺居民用气门站价格的通知》（川发改价格〔2018〕278号）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《四川省发展和改革委员会关于做好2021年居民用气销售价格调整有关工作的通知》（川发改价格函〔2021〕243号）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文件精神和全省居民用气购气合同价格上调情况，结合我县实际，提出了《犍为县居民用气销售价格顺价调整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方案》，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拟调整方案如下：</w:t>
      </w:r>
      <w:bookmarkEnd w:id="1"/>
    </w:p>
    <w:p w14:paraId="4B1BE7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2" w:name="OLE_LINK3"/>
      <w:bookmarkStart w:id="3" w:name="OLE_LINK20"/>
      <w:r>
        <w:rPr>
          <w:rFonts w:hint="eastAsia" w:ascii="黑体" w:hAnsi="黑体" w:eastAsia="黑体" w:cs="黑体"/>
          <w:sz w:val="32"/>
          <w:szCs w:val="32"/>
          <w:lang w:eastAsia="zh-CN"/>
        </w:rPr>
        <w:t>一、顺价调整范围</w:t>
      </w:r>
    </w:p>
    <w:bookmarkEnd w:id="2"/>
    <w:p w14:paraId="1F2962E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四川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恒邦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能源股份有限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公司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区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范围内的居民用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气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及执行居民气价的非居用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气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犍为县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恒丰泰天燃气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有限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公司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区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范围内的居民用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气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及执行居民气价的非居用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气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 w14:paraId="1DE4CE09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二、拟顺价调整居民用气销售价格额</w:t>
      </w:r>
    </w:p>
    <w:p w14:paraId="194E9A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</w:rPr>
        <w:t>本次</w:t>
      </w:r>
      <w:bookmarkStart w:id="4" w:name="OLE_LINK5"/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</w:rPr>
        <w:t>疏导</w:t>
      </w:r>
      <w:bookmarkEnd w:id="4"/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  <w:t>幅度：</w:t>
      </w:r>
      <w:bookmarkStart w:id="5" w:name="OLE_LINK19"/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  <w:t>按照基准门站价上浮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15%增加的购气成本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  <w:t>进行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</w:rPr>
        <w:t>疏导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  <w:t>，顺价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</w:rPr>
        <w:t>调整额为0.23元/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m</w:t>
      </w:r>
      <w:r>
        <w:rPr>
          <w:rFonts w:ascii="Times New Roman" w:hAnsi="Times New Roman" w:eastAsia="仿宋_GB2312"/>
          <w:sz w:val="32"/>
          <w:szCs w:val="32"/>
          <w:vertAlign w:val="superscript"/>
        </w:rPr>
        <w:t>3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  <w:t>。</w:t>
      </w:r>
      <w:bookmarkEnd w:id="3"/>
    </w:p>
    <w:p w14:paraId="3E85303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  <w:t>顺价调整后的居民用气销售价格</w:t>
      </w:r>
    </w:p>
    <w:bookmarkEnd w:id="5"/>
    <w:tbl>
      <w:tblPr>
        <w:tblStyle w:val="6"/>
        <w:tblW w:w="8882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939"/>
        <w:gridCol w:w="1693"/>
        <w:gridCol w:w="1628"/>
        <w:gridCol w:w="1428"/>
        <w:gridCol w:w="1347"/>
      </w:tblGrid>
      <w:tr w14:paraId="4B03A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6" w:type="dxa"/>
            <w:gridSpan w:val="2"/>
            <w:noWrap w:val="0"/>
            <w:vAlign w:val="center"/>
          </w:tcPr>
          <w:p w14:paraId="53EAFA7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  <w:t>类   别</w:t>
            </w:r>
          </w:p>
        </w:tc>
        <w:tc>
          <w:tcPr>
            <w:tcW w:w="1693" w:type="dxa"/>
            <w:noWrap w:val="0"/>
            <w:vAlign w:val="top"/>
          </w:tcPr>
          <w:p w14:paraId="1F2B8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调整前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  <w:t>价格</w:t>
            </w:r>
          </w:p>
          <w:p w14:paraId="6358688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（元/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3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）</w:t>
            </w:r>
          </w:p>
        </w:tc>
        <w:tc>
          <w:tcPr>
            <w:tcW w:w="1628" w:type="dxa"/>
            <w:noWrap w:val="0"/>
            <w:vAlign w:val="top"/>
          </w:tcPr>
          <w:p w14:paraId="482CD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调整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  <w:t>后价格</w:t>
            </w:r>
          </w:p>
          <w:p w14:paraId="57E20E0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（元/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3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）</w:t>
            </w:r>
          </w:p>
        </w:tc>
        <w:tc>
          <w:tcPr>
            <w:tcW w:w="1428" w:type="dxa"/>
            <w:noWrap w:val="0"/>
            <w:vAlign w:val="top"/>
          </w:tcPr>
          <w:p w14:paraId="7F465F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  <w:t>顺调金额</w:t>
            </w:r>
          </w:p>
          <w:p w14:paraId="5260A21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（元/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3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）</w:t>
            </w:r>
          </w:p>
        </w:tc>
        <w:tc>
          <w:tcPr>
            <w:tcW w:w="1347" w:type="dxa"/>
            <w:noWrap w:val="0"/>
            <w:vAlign w:val="top"/>
          </w:tcPr>
          <w:p w14:paraId="0F8FC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  <w:t>顺调幅度</w:t>
            </w:r>
          </w:p>
          <w:p w14:paraId="3249C3F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%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）</w:t>
            </w:r>
          </w:p>
        </w:tc>
      </w:tr>
      <w:tr w14:paraId="0E4BB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2" w:type="dxa"/>
            <w:gridSpan w:val="6"/>
            <w:noWrap w:val="0"/>
            <w:vAlign w:val="center"/>
          </w:tcPr>
          <w:p w14:paraId="78FBFF3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eastAsia="zh-CN"/>
              </w:rPr>
              <w:t>恒邦能源公司供区</w:t>
            </w:r>
          </w:p>
        </w:tc>
      </w:tr>
      <w:tr w14:paraId="2D6F8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vMerge w:val="restart"/>
            <w:noWrap w:val="0"/>
            <w:vAlign w:val="top"/>
          </w:tcPr>
          <w:p w14:paraId="6AC5AE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" w:eastAsia="仿宋_GB2312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  <w:t>“一户一表”用户</w:t>
            </w:r>
          </w:p>
        </w:tc>
        <w:tc>
          <w:tcPr>
            <w:tcW w:w="1939" w:type="dxa"/>
            <w:noWrap w:val="0"/>
            <w:vAlign w:val="top"/>
          </w:tcPr>
          <w:p w14:paraId="4A53B1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第一阶梯</w:t>
            </w:r>
          </w:p>
          <w:p w14:paraId="64BED76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3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以下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）</w:t>
            </w:r>
          </w:p>
        </w:tc>
        <w:tc>
          <w:tcPr>
            <w:tcW w:w="1693" w:type="dxa"/>
            <w:noWrap w:val="0"/>
            <w:vAlign w:val="center"/>
          </w:tcPr>
          <w:p w14:paraId="0C0AA2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2.19</w:t>
            </w:r>
          </w:p>
        </w:tc>
        <w:tc>
          <w:tcPr>
            <w:tcW w:w="1628" w:type="dxa"/>
            <w:noWrap w:val="0"/>
            <w:vAlign w:val="center"/>
          </w:tcPr>
          <w:p w14:paraId="404170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2.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428" w:type="dxa"/>
            <w:noWrap w:val="0"/>
            <w:vAlign w:val="center"/>
          </w:tcPr>
          <w:p w14:paraId="472310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0.23</w:t>
            </w:r>
          </w:p>
        </w:tc>
        <w:tc>
          <w:tcPr>
            <w:tcW w:w="1347" w:type="dxa"/>
            <w:noWrap w:val="0"/>
            <w:vAlign w:val="center"/>
          </w:tcPr>
          <w:p w14:paraId="38D145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10.5</w:t>
            </w:r>
          </w:p>
        </w:tc>
      </w:tr>
      <w:tr w14:paraId="56A4D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vMerge w:val="continue"/>
            <w:noWrap w:val="0"/>
            <w:vAlign w:val="top"/>
          </w:tcPr>
          <w:p w14:paraId="79C7118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" w:eastAsia="仿宋_GB2312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6F23B0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第二阶梯</w:t>
            </w:r>
          </w:p>
          <w:p w14:paraId="21572B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46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-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67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3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）</w:t>
            </w:r>
          </w:p>
        </w:tc>
        <w:tc>
          <w:tcPr>
            <w:tcW w:w="1693" w:type="dxa"/>
            <w:noWrap w:val="0"/>
            <w:vAlign w:val="center"/>
          </w:tcPr>
          <w:p w14:paraId="084858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2.63</w:t>
            </w:r>
          </w:p>
        </w:tc>
        <w:tc>
          <w:tcPr>
            <w:tcW w:w="1628" w:type="dxa"/>
            <w:noWrap w:val="0"/>
            <w:vAlign w:val="center"/>
          </w:tcPr>
          <w:p w14:paraId="555D74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2.90</w:t>
            </w:r>
          </w:p>
        </w:tc>
        <w:tc>
          <w:tcPr>
            <w:tcW w:w="1428" w:type="dxa"/>
            <w:noWrap w:val="0"/>
            <w:vAlign w:val="center"/>
          </w:tcPr>
          <w:p w14:paraId="76A326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0.27</w:t>
            </w:r>
          </w:p>
        </w:tc>
        <w:tc>
          <w:tcPr>
            <w:tcW w:w="1347" w:type="dxa"/>
            <w:noWrap w:val="0"/>
            <w:vAlign w:val="center"/>
          </w:tcPr>
          <w:p w14:paraId="43C64F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10.27</w:t>
            </w:r>
          </w:p>
        </w:tc>
      </w:tr>
      <w:tr w14:paraId="2DFFF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vMerge w:val="continue"/>
            <w:noWrap w:val="0"/>
            <w:vAlign w:val="top"/>
          </w:tcPr>
          <w:p w14:paraId="490988D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" w:eastAsia="仿宋_GB2312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9" w:type="dxa"/>
            <w:noWrap w:val="0"/>
            <w:vAlign w:val="center"/>
          </w:tcPr>
          <w:p w14:paraId="0148D5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第三阶梯</w:t>
            </w:r>
          </w:p>
          <w:p w14:paraId="5938C0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67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3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以上）</w:t>
            </w:r>
          </w:p>
        </w:tc>
        <w:tc>
          <w:tcPr>
            <w:tcW w:w="1693" w:type="dxa"/>
            <w:noWrap w:val="0"/>
            <w:vAlign w:val="center"/>
          </w:tcPr>
          <w:p w14:paraId="0595EB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3.28</w:t>
            </w:r>
          </w:p>
        </w:tc>
        <w:tc>
          <w:tcPr>
            <w:tcW w:w="1628" w:type="dxa"/>
            <w:noWrap w:val="0"/>
            <w:vAlign w:val="center"/>
          </w:tcPr>
          <w:p w14:paraId="396183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1428" w:type="dxa"/>
            <w:noWrap w:val="0"/>
            <w:vAlign w:val="center"/>
          </w:tcPr>
          <w:p w14:paraId="12A1D9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0.35</w:t>
            </w:r>
          </w:p>
        </w:tc>
        <w:tc>
          <w:tcPr>
            <w:tcW w:w="1347" w:type="dxa"/>
            <w:noWrap w:val="0"/>
            <w:vAlign w:val="center"/>
          </w:tcPr>
          <w:p w14:paraId="275CE2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10.67</w:t>
            </w:r>
          </w:p>
        </w:tc>
      </w:tr>
      <w:tr w14:paraId="7FD39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6" w:type="dxa"/>
            <w:gridSpan w:val="2"/>
            <w:noWrap w:val="0"/>
            <w:vAlign w:val="top"/>
          </w:tcPr>
          <w:p w14:paraId="6434B1A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  <w:t>合表用户</w:t>
            </w:r>
          </w:p>
        </w:tc>
        <w:tc>
          <w:tcPr>
            <w:tcW w:w="1693" w:type="dxa"/>
            <w:noWrap w:val="0"/>
            <w:vAlign w:val="center"/>
          </w:tcPr>
          <w:p w14:paraId="15296C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2.41</w:t>
            </w:r>
          </w:p>
        </w:tc>
        <w:tc>
          <w:tcPr>
            <w:tcW w:w="1628" w:type="dxa"/>
            <w:noWrap w:val="0"/>
            <w:vAlign w:val="center"/>
          </w:tcPr>
          <w:p w14:paraId="20644D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</w:rPr>
              <w:t>2.</w:t>
            </w: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1428" w:type="dxa"/>
            <w:noWrap w:val="0"/>
            <w:vAlign w:val="center"/>
          </w:tcPr>
          <w:p w14:paraId="6ADF01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0.08</w:t>
            </w:r>
          </w:p>
        </w:tc>
        <w:tc>
          <w:tcPr>
            <w:tcW w:w="1347" w:type="dxa"/>
            <w:noWrap w:val="0"/>
            <w:vAlign w:val="center"/>
          </w:tcPr>
          <w:p w14:paraId="4F13D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10.37</w:t>
            </w:r>
          </w:p>
        </w:tc>
      </w:tr>
      <w:tr w14:paraId="128B9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2" w:type="dxa"/>
            <w:gridSpan w:val="6"/>
            <w:noWrap w:val="0"/>
            <w:vAlign w:val="top"/>
          </w:tcPr>
          <w:p w14:paraId="6DE29B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恒丰泰天然气公司供区</w:t>
            </w:r>
          </w:p>
        </w:tc>
      </w:tr>
      <w:tr w14:paraId="0275A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6" w:type="dxa"/>
            <w:gridSpan w:val="2"/>
            <w:noWrap w:val="0"/>
            <w:vAlign w:val="top"/>
          </w:tcPr>
          <w:p w14:paraId="7EB7BF0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vertAlign w:val="baseline"/>
                <w:lang w:val="en-US" w:eastAsia="zh-CN"/>
              </w:rPr>
              <w:t>居民用户</w:t>
            </w:r>
          </w:p>
        </w:tc>
        <w:tc>
          <w:tcPr>
            <w:tcW w:w="1693" w:type="dxa"/>
            <w:noWrap w:val="0"/>
            <w:vAlign w:val="center"/>
          </w:tcPr>
          <w:p w14:paraId="134FF3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2.3</w:t>
            </w:r>
          </w:p>
        </w:tc>
        <w:tc>
          <w:tcPr>
            <w:tcW w:w="1628" w:type="dxa"/>
            <w:noWrap w:val="0"/>
            <w:vAlign w:val="center"/>
          </w:tcPr>
          <w:p w14:paraId="150913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2.53</w:t>
            </w:r>
          </w:p>
        </w:tc>
        <w:tc>
          <w:tcPr>
            <w:tcW w:w="1428" w:type="dxa"/>
            <w:noWrap w:val="0"/>
            <w:vAlign w:val="center"/>
          </w:tcPr>
          <w:p w14:paraId="5B34C2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0.23</w:t>
            </w:r>
          </w:p>
        </w:tc>
        <w:tc>
          <w:tcPr>
            <w:tcW w:w="1347" w:type="dxa"/>
            <w:noWrap w:val="0"/>
            <w:vAlign w:val="center"/>
          </w:tcPr>
          <w:p w14:paraId="64C624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</w:tr>
    </w:tbl>
    <w:p w14:paraId="2862DEF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baseline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</w:pPr>
    </w:p>
    <w:p w14:paraId="36B37C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</w:rPr>
        <w:t>计价周期</w:t>
      </w:r>
    </w:p>
    <w:p w14:paraId="2D7FE9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气价计价周期以月为单位</w:t>
      </w:r>
      <w:r>
        <w:rPr>
          <w:rFonts w:ascii="仿宋_GB2312" w:hAnsi="宋体" w:eastAsia="仿宋_GB2312" w:cs="宋体"/>
          <w:color w:val="auto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执行阶梯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气价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的供区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按月分档结算，执行相应气价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标准，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用气量跨月不累计、不结转。抄表和缴费周期仍按原有方式不变。</w:t>
      </w:r>
    </w:p>
    <w:p w14:paraId="17CF87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bookmarkStart w:id="6" w:name="OLE_LINK21"/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五、调整对低收入群体的优惠措施</w:t>
      </w:r>
    </w:p>
    <w:p w14:paraId="6CD602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为减轻天然气调价对低收入群体的影响，本次顺价调整后</w:t>
      </w:r>
      <w:bookmarkStart w:id="7" w:name="OLE_LINK12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bookmarkEnd w:id="7"/>
      <w:bookmarkStart w:id="9" w:name="_GoBack"/>
      <w:bookmarkStart w:id="8" w:name="OLE_LINK4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对经民政部门认定的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低保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、特困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户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燃气用户</w:t>
      </w:r>
      <w:bookmarkEnd w:id="8"/>
      <w:bookmarkEnd w:id="9"/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，由燃气经营企业按原每立方米优惠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0.2元调整为每立方米优惠0.3元。</w:t>
      </w:r>
    </w:p>
    <w:p w14:paraId="59D0506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六、完善多</w:t>
      </w:r>
      <w:r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  <w:t>人口家庭用气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阶梯气量</w:t>
      </w:r>
    </w:p>
    <w:p w14:paraId="7E1EAEE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根据我县家庭的实际情况，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对户籍人口超过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人的家庭，每增加1人，在相应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阶梯气量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基数上增加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立方米。</w:t>
      </w:r>
    </w:p>
    <w:p w14:paraId="1B77BB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七、</w:t>
      </w:r>
      <w:r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  <w:t>执行居民气价的非居民用户可自主选择价格类别</w:t>
      </w:r>
    </w:p>
    <w:p w14:paraId="039D4F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6"/>
        <w:textAlignment w:val="auto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  <w:t>按照政策规定，对国家、省规定的执行居民气价的学校教学和学生生活、养老福利机构、城市社区居委会服务设施、农民利用自有住宅从事旅游经营用气的非居民用户，按调整后的合表用户气价执行。用户也可自主选择执行居民气价或非居民气价类别，一经选定，应在12个月内保持不变，双方以供用气合同形式约定。</w:t>
      </w:r>
    </w:p>
    <w:p w14:paraId="463E7633">
      <w:pPr>
        <w:pStyle w:val="2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 w14:paraId="57C79CE2">
      <w:pPr>
        <w:rPr>
          <w:rFonts w:hint="default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                    </w:t>
      </w:r>
    </w:p>
    <w:bookmarkEnd w:id="6"/>
    <w:p w14:paraId="1DE0BAE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 w14:paraId="2C7C72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073FE1A3"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</w:t>
      </w:r>
    </w:p>
    <w:p w14:paraId="5D179A9A">
      <w:pPr>
        <w:rPr>
          <w:rFonts w:hint="eastAsia"/>
          <w:lang w:val="en-US" w:eastAsia="zh-CN"/>
        </w:rPr>
      </w:pPr>
    </w:p>
    <w:p w14:paraId="3B8143D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446" w:firstLineChars="1702"/>
        <w:jc w:val="both"/>
        <w:textAlignment w:val="auto"/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468" w:bottom="1440" w:left="146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YzBmMTNiNTQ0YjQ2NGU2MmVjMjZlZTQ2MDgxNzEifQ=="/>
  </w:docVars>
  <w:rsids>
    <w:rsidRoot w:val="00000000"/>
    <w:rsid w:val="06431105"/>
    <w:rsid w:val="0D190C1F"/>
    <w:rsid w:val="37512F33"/>
    <w:rsid w:val="3A25583C"/>
    <w:rsid w:val="502C6D57"/>
    <w:rsid w:val="580E35A3"/>
    <w:rsid w:val="59FC07E1"/>
    <w:rsid w:val="760B3CC2"/>
    <w:rsid w:val="7E47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99"/>
    <w:pPr>
      <w:ind w:leftChars="200" w:hanging="200" w:hangingChars="200"/>
    </w:pPr>
  </w:style>
  <w:style w:type="paragraph" w:styleId="3">
    <w:name w:val="Body Text"/>
    <w:basedOn w:val="1"/>
    <w:next w:val="1"/>
    <w:qFormat/>
    <w:uiPriority w:val="0"/>
    <w:rPr>
      <w:rFonts w:ascii="宋体" w:hAnsi="宋体"/>
      <w:sz w:val="32"/>
      <w:szCs w:val="32"/>
      <w:lang w:val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836</Words>
  <Characters>940</Characters>
  <Lines>0</Lines>
  <Paragraphs>0</Paragraphs>
  <TotalTime>1</TotalTime>
  <ScaleCrop>false</ScaleCrop>
  <LinksUpToDate>false</LinksUpToDate>
  <CharactersWithSpaces>1016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2024-06-17T03:03:00Z</dcterms:created>
  <dc:creator>Administrator</dc:creator>
  <cp:lastModifiedBy>芦国军</cp:lastModifiedBy>
  <dcterms:modified xsi:type="dcterms:W3CDTF">2024-12-17T02:58:09Z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C4C5D065C6354A6CB0869D67845C9D36</vt:lpwstr>
  </property>
</Properties>
</file>