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16" w:lineRule="atLeast"/>
        <w:jc w:val="center"/>
        <w:rPr>
          <w:rFonts w:hint="eastAsia" w:ascii="方正小标宋简体" w:eastAsia="方正小标宋简体"/>
          <w:sz w:val="44"/>
          <w:szCs w:val="44"/>
        </w:rPr>
      </w:pPr>
      <w:r>
        <w:rPr>
          <w:rFonts w:hint="eastAsia" w:ascii="方正小标宋简体" w:eastAsia="方正小标宋简体"/>
          <w:sz w:val="44"/>
          <w:szCs w:val="44"/>
        </w:rPr>
        <w:t>犍为县自然资源局</w:t>
      </w:r>
    </w:p>
    <w:p>
      <w:pPr>
        <w:adjustRightInd w:val="0"/>
        <w:snapToGrid w:val="0"/>
        <w:spacing w:line="16" w:lineRule="atLeast"/>
        <w:jc w:val="center"/>
        <w:rPr>
          <w:rFonts w:hint="eastAsia" w:ascii="方正小标宋简体" w:eastAsia="方正小标宋简体"/>
          <w:bCs/>
          <w:w w:val="95"/>
          <w:sz w:val="44"/>
          <w:szCs w:val="44"/>
        </w:rPr>
      </w:pPr>
      <w:r>
        <w:rPr>
          <w:rFonts w:hint="eastAsia" w:ascii="方正小标宋简体" w:eastAsia="方正小标宋简体"/>
          <w:bCs/>
          <w:w w:val="95"/>
          <w:sz w:val="44"/>
          <w:szCs w:val="44"/>
        </w:rPr>
        <w:t>关于《犍为县县城控制性详细规划QW(YJ.E)-c-01街区规划局部调整论证》的</w:t>
      </w:r>
    </w:p>
    <w:p>
      <w:pPr>
        <w:adjustRightInd w:val="0"/>
        <w:snapToGrid w:val="0"/>
        <w:spacing w:line="16" w:lineRule="atLeast"/>
        <w:jc w:val="center"/>
        <w:rPr>
          <w:rFonts w:hint="eastAsia" w:ascii="方正小标宋简体" w:eastAsia="方正小标宋简体"/>
          <w:bCs/>
          <w:sz w:val="44"/>
          <w:szCs w:val="44"/>
        </w:rPr>
      </w:pPr>
      <w:r>
        <w:rPr>
          <w:rFonts w:hint="eastAsia" w:ascii="方正小标宋简体" w:eastAsia="方正小标宋简体"/>
          <w:bCs/>
          <w:w w:val="95"/>
          <w:sz w:val="44"/>
          <w:szCs w:val="44"/>
        </w:rPr>
        <w:t>公</w:t>
      </w:r>
      <w:r>
        <w:rPr>
          <w:rFonts w:hint="eastAsia" w:ascii="方正小标宋简体" w:eastAsia="方正小标宋简体"/>
          <w:bCs/>
          <w:w w:val="95"/>
          <w:sz w:val="44"/>
          <w:szCs w:val="44"/>
          <w:lang w:val="en-US" w:eastAsia="zh-CN"/>
        </w:rPr>
        <w:t xml:space="preserve">  </w:t>
      </w:r>
      <w:r>
        <w:rPr>
          <w:rFonts w:hint="eastAsia" w:ascii="方正小标宋简体" w:eastAsia="方正小标宋简体"/>
          <w:bCs/>
          <w:w w:val="95"/>
          <w:sz w:val="44"/>
          <w:szCs w:val="44"/>
        </w:rPr>
        <w:t>示</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29"/>
        <w:jc w:val="both"/>
        <w:textAlignment w:val="auto"/>
        <w:rPr>
          <w:rFonts w:hint="eastAsia" w:ascii="仿宋_GB2312" w:hAnsi="仿宋_GB2312" w:eastAsia="仿宋_GB2312" w:cs="仿宋_GB2312"/>
          <w:color w:val="424242"/>
          <w:sz w:val="32"/>
          <w:szCs w:val="32"/>
          <w:shd w:val="clear" w:color="auto" w:fill="FFFFFF"/>
        </w:rPr>
      </w:pPr>
      <w:r>
        <w:rPr>
          <w:rFonts w:hint="eastAsia" w:ascii="仿宋_GB2312" w:hAnsi="仿宋_GB2312" w:eastAsia="仿宋_GB2312" w:cs="仿宋_GB2312"/>
          <w:color w:val="auto"/>
          <w:sz w:val="32"/>
          <w:szCs w:val="32"/>
          <w:shd w:val="clear" w:color="auto" w:fill="auto"/>
        </w:rPr>
        <w:t>《犍为县县城控制性详细规划QW(YJ.E)-c-01街区规划局部调整论证》</w:t>
      </w:r>
      <w:r>
        <w:rPr>
          <w:rFonts w:hint="eastAsia" w:ascii="仿宋_GB2312" w:hAnsi="仿宋_GB2312" w:eastAsia="仿宋_GB2312" w:cs="仿宋_GB2312"/>
          <w:color w:val="auto"/>
          <w:sz w:val="32"/>
          <w:szCs w:val="32"/>
          <w:shd w:val="clear" w:color="auto" w:fill="auto"/>
          <w:lang w:val="en-US" w:eastAsia="zh-CN"/>
        </w:rPr>
        <w:t>于</w:t>
      </w:r>
      <w:r>
        <w:rPr>
          <w:rFonts w:hint="eastAsia" w:ascii="仿宋_GB2312" w:hAnsi="仿宋_GB2312" w:eastAsia="仿宋_GB2312" w:cs="仿宋_GB2312"/>
          <w:color w:val="auto"/>
          <w:sz w:val="32"/>
          <w:szCs w:val="32"/>
          <w:shd w:val="clear" w:color="auto" w:fill="auto"/>
        </w:rPr>
        <w:t>2025年6月4日通过犍为县国土空间规划委员会2025年第</w:t>
      </w:r>
      <w:r>
        <w:rPr>
          <w:rFonts w:hint="eastAsia" w:ascii="仿宋_GB2312" w:hAnsi="仿宋_GB2312" w:eastAsia="仿宋_GB2312" w:cs="仿宋_GB2312"/>
          <w:color w:val="auto"/>
          <w:sz w:val="32"/>
          <w:szCs w:val="32"/>
          <w:shd w:val="clear" w:color="auto" w:fill="auto"/>
          <w:lang w:val="en-US" w:eastAsia="zh-CN"/>
        </w:rPr>
        <w:t>3</w:t>
      </w:r>
      <w:r>
        <w:rPr>
          <w:rFonts w:hint="eastAsia" w:ascii="仿宋_GB2312" w:hAnsi="仿宋_GB2312" w:eastAsia="仿宋_GB2312" w:cs="仿宋_GB2312"/>
          <w:color w:val="auto"/>
          <w:sz w:val="32"/>
          <w:szCs w:val="32"/>
          <w:shd w:val="clear" w:color="auto" w:fill="auto"/>
        </w:rPr>
        <w:t>次会议审查。根据《中华人民共和国城乡规划法》《四川省城乡规划条例》等相关规定，现将以上规划调整</w:t>
      </w:r>
      <w:r>
        <w:rPr>
          <w:rFonts w:hint="eastAsia" w:ascii="仿宋_GB2312" w:hAnsi="仿宋_GB2312" w:eastAsia="仿宋_GB2312" w:cs="仿宋_GB2312"/>
          <w:color w:val="auto"/>
          <w:sz w:val="32"/>
          <w:szCs w:val="32"/>
          <w:shd w:val="clear" w:color="auto" w:fill="auto"/>
          <w:lang w:val="en-US" w:eastAsia="zh-CN"/>
        </w:rPr>
        <w:t>方</w:t>
      </w:r>
      <w:r>
        <w:rPr>
          <w:rFonts w:hint="eastAsia" w:ascii="仿宋_GB2312" w:hAnsi="仿宋_GB2312" w:eastAsia="仿宋_GB2312" w:cs="仿宋_GB2312"/>
          <w:color w:val="auto"/>
          <w:sz w:val="32"/>
          <w:szCs w:val="32"/>
          <w:shd w:val="clear" w:color="auto" w:fill="auto"/>
        </w:rPr>
        <w:t>案</w:t>
      </w:r>
      <w:r>
        <w:rPr>
          <w:rFonts w:hint="eastAsia" w:ascii="仿宋_GB2312" w:hAnsi="仿宋_GB2312" w:eastAsia="仿宋_GB2312" w:cs="仿宋_GB2312"/>
          <w:color w:val="auto"/>
          <w:sz w:val="32"/>
          <w:szCs w:val="32"/>
          <w:shd w:val="clear" w:color="auto" w:fill="auto"/>
          <w:lang w:val="en-US" w:eastAsia="zh-CN"/>
        </w:rPr>
        <w:t>进行批前</w:t>
      </w:r>
      <w:r>
        <w:rPr>
          <w:rFonts w:hint="eastAsia" w:ascii="仿宋_GB2312" w:hAnsi="仿宋_GB2312" w:eastAsia="仿宋_GB2312" w:cs="仿宋_GB2312"/>
          <w:color w:val="auto"/>
          <w:sz w:val="32"/>
          <w:szCs w:val="32"/>
          <w:shd w:val="clear" w:color="auto" w:fill="auto"/>
        </w:rPr>
        <w:t>公示，征求社会</w:t>
      </w:r>
      <w:r>
        <w:rPr>
          <w:rFonts w:hint="eastAsia" w:ascii="仿宋_GB2312" w:hAnsi="仿宋_GB2312" w:eastAsia="仿宋_GB2312" w:cs="仿宋_GB2312"/>
          <w:color w:val="auto"/>
          <w:sz w:val="32"/>
          <w:szCs w:val="32"/>
          <w:shd w:val="clear" w:color="auto" w:fill="auto"/>
          <w:lang w:val="en-US" w:eastAsia="zh-CN"/>
        </w:rPr>
        <w:t>公众</w:t>
      </w:r>
      <w:r>
        <w:rPr>
          <w:rFonts w:hint="eastAsia" w:ascii="仿宋_GB2312" w:hAnsi="仿宋_GB2312" w:eastAsia="仿宋_GB2312" w:cs="仿宋_GB2312"/>
          <w:color w:val="auto"/>
          <w:sz w:val="32"/>
          <w:szCs w:val="32"/>
          <w:shd w:val="clear" w:color="auto" w:fill="auto"/>
        </w:rPr>
        <w:t>意见</w:t>
      </w:r>
      <w:r>
        <w:rPr>
          <w:rFonts w:hint="eastAsia" w:ascii="仿宋_GB2312" w:hAnsi="仿宋_GB2312" w:eastAsia="仿宋_GB2312" w:cs="仿宋_GB2312"/>
          <w:color w:val="auto"/>
          <w:sz w:val="32"/>
          <w:szCs w:val="32"/>
          <w:shd w:val="clear" w:color="auto" w:fill="auto"/>
          <w:lang w:eastAsia="zh-CN"/>
        </w:rPr>
        <w:t>，</w:t>
      </w:r>
      <w:r>
        <w:rPr>
          <w:rFonts w:hint="eastAsia" w:ascii="仿宋_GB2312" w:eastAsia="仿宋_GB2312"/>
          <w:color w:val="auto"/>
          <w:sz w:val="32"/>
          <w:szCs w:val="32"/>
          <w:shd w:val="clear" w:color="auto" w:fill="auto"/>
        </w:rPr>
        <w:t>如有异议，请在公示期内以书面形式函告我局。</w:t>
      </w:r>
      <w:r>
        <w:rPr>
          <w:rFonts w:hint="eastAsia" w:ascii="黑体" w:eastAsia="黑体"/>
          <w:sz w:val="32"/>
          <w:szCs w:val="32"/>
        </w:rPr>
        <w:t>公示期为</w:t>
      </w:r>
      <w:r>
        <w:rPr>
          <w:rFonts w:hint="eastAsia" w:ascii="黑体" w:eastAsia="黑体"/>
          <w:sz w:val="32"/>
          <w:szCs w:val="32"/>
          <w:lang w:val="en-US" w:eastAsia="zh-CN"/>
        </w:rPr>
        <w:t>30日（2025年6月19日至7月18日）</w:t>
      </w:r>
      <w:r>
        <w:rPr>
          <w:rFonts w:hint="eastAsia" w:ascii="黑体" w:eastAsia="黑体"/>
          <w:sz w:val="32"/>
          <w:szCs w:val="32"/>
        </w:rPr>
        <w:t>。</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firstLine="646"/>
        <w:textAlignment w:val="auto"/>
        <w:rPr>
          <w:rFonts w:hint="eastAsia" w:ascii="仿宋_GB2312" w:eastAsia="仿宋_GB2312"/>
          <w:sz w:val="32"/>
          <w:szCs w:val="32"/>
        </w:rPr>
      </w:pPr>
      <w:r>
        <w:rPr>
          <w:rFonts w:hint="eastAsia" w:ascii="仿宋_GB2312" w:eastAsia="仿宋_GB2312"/>
          <w:sz w:val="32"/>
          <w:szCs w:val="32"/>
        </w:rPr>
        <w:t>通讯地址：犍为县滨江路347号自然资源局</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firstLine="646"/>
        <w:textAlignment w:val="auto"/>
        <w:rPr>
          <w:rFonts w:hint="eastAsia" w:ascii="仿宋_GB2312" w:eastAsia="仿宋_GB2312"/>
          <w:sz w:val="32"/>
          <w:szCs w:val="32"/>
        </w:rPr>
      </w:pPr>
      <w:r>
        <w:rPr>
          <w:rFonts w:hint="eastAsia" w:ascii="仿宋_GB2312" w:eastAsia="仿宋_GB2312"/>
          <w:sz w:val="32"/>
          <w:szCs w:val="32"/>
        </w:rPr>
        <w:t>联系电话：4233983</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firstLine="646"/>
        <w:textAlignment w:val="auto"/>
        <w:rPr>
          <w:rFonts w:hint="eastAsia" w:ascii="仿宋_GB2312" w:eastAsia="仿宋_GB2312"/>
          <w:sz w:val="32"/>
          <w:szCs w:val="32"/>
        </w:rPr>
      </w:pPr>
      <w:r>
        <w:rPr>
          <w:rFonts w:hint="eastAsia" w:ascii="仿宋_GB2312" w:eastAsia="仿宋_GB2312"/>
          <w:sz w:val="32"/>
          <w:szCs w:val="32"/>
        </w:rPr>
        <w:t>电子邮箱：</w:t>
      </w:r>
      <w:r>
        <w:rPr>
          <w:rFonts w:hint="eastAsia" w:ascii="仿宋_GB2312" w:eastAsia="仿宋_GB2312"/>
          <w:sz w:val="32"/>
          <w:szCs w:val="32"/>
        </w:rPr>
        <w:fldChar w:fldCharType="begin"/>
      </w:r>
      <w:r>
        <w:rPr>
          <w:rFonts w:hint="eastAsia" w:ascii="仿宋_GB2312" w:eastAsia="仿宋_GB2312"/>
          <w:sz w:val="32"/>
          <w:szCs w:val="32"/>
        </w:rPr>
        <w:instrText xml:space="preserve"> HYPERLINK "mailto:2373282613@qq.com"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756451077</w:t>
      </w:r>
      <w:r>
        <w:rPr>
          <w:rFonts w:hint="eastAsia" w:ascii="仿宋_GB2312" w:eastAsia="仿宋_GB2312"/>
          <w:sz w:val="32"/>
          <w:szCs w:val="32"/>
        </w:rPr>
        <w:t>@qq.com</w:t>
      </w:r>
      <w:r>
        <w:rPr>
          <w:rFonts w:hint="eastAsia" w:ascii="仿宋_GB2312" w:eastAsia="仿宋_GB2312"/>
          <w:sz w:val="32"/>
          <w:szCs w:val="32"/>
        </w:rPr>
        <w:fldChar w:fldCharType="end"/>
      </w:r>
    </w:p>
    <w:p>
      <w:pPr>
        <w:pStyle w:val="2"/>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附：</w:t>
      </w:r>
      <w:r>
        <w:rPr>
          <w:rFonts w:hint="eastAsia" w:ascii="仿宋_GB2312" w:eastAsia="仿宋_GB2312" w:cstheme="minorBidi"/>
          <w:kern w:val="2"/>
          <w:sz w:val="32"/>
          <w:szCs w:val="32"/>
          <w:lang w:val="en-US" w:eastAsia="zh-CN" w:bidi="ar-SA"/>
        </w:rPr>
        <w:t>1、</w:t>
      </w:r>
      <w:r>
        <w:rPr>
          <w:rFonts w:hint="eastAsia" w:ascii="仿宋_GB2312" w:eastAsia="仿宋_GB2312" w:hAnsiTheme="minorHAnsi" w:cstheme="minorBidi"/>
          <w:kern w:val="2"/>
          <w:sz w:val="32"/>
          <w:szCs w:val="32"/>
          <w:lang w:val="en-US" w:eastAsia="zh-CN" w:bidi="ar-SA"/>
        </w:rPr>
        <w:t>规划调整说明</w:t>
      </w:r>
    </w:p>
    <w:p>
      <w:pPr>
        <w:pStyle w:val="2"/>
        <w:rPr>
          <w:rFonts w:hint="default"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 xml:space="preserve">    2</w:t>
      </w:r>
      <w:r>
        <w:rPr>
          <w:rFonts w:hint="eastAsia" w:ascii="仿宋_GB2312" w:eastAsia="仿宋_GB2312" w:hAnsiTheme="minorHAnsi" w:cstheme="minorBidi"/>
          <w:kern w:val="2"/>
          <w:sz w:val="32"/>
          <w:szCs w:val="32"/>
          <w:lang w:val="en-US" w:eastAsia="zh-CN" w:bidi="ar-SA"/>
        </w:rPr>
        <w:t>、调整前后图则</w:t>
      </w:r>
    </w:p>
    <w:p>
      <w:pPr>
        <w:keepNext w:val="0"/>
        <w:keepLines w:val="0"/>
        <w:pageBreakBefore w:val="0"/>
        <w:widowControl w:val="0"/>
        <w:kinsoku/>
        <w:wordWrap/>
        <w:overflowPunct/>
        <w:topLinePunct w:val="0"/>
        <w:autoSpaceDE/>
        <w:autoSpaceDN/>
        <w:bidi w:val="0"/>
        <w:adjustRightInd/>
        <w:snapToGrid w:val="0"/>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val="0"/>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val="0"/>
        <w:spacing w:line="600" w:lineRule="exact"/>
        <w:jc w:val="right"/>
        <w:textAlignment w:val="auto"/>
      </w:pPr>
    </w:p>
    <w:p>
      <w:pPr>
        <w:pStyle w:val="2"/>
        <w:wordWrap w:val="0"/>
        <w:jc w:val="right"/>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 xml:space="preserve">犍为县自然资源局  </w:t>
      </w:r>
    </w:p>
    <w:p>
      <w:pPr>
        <w:pStyle w:val="2"/>
        <w:wordWrap w:val="0"/>
        <w:jc w:val="right"/>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2025年6月1</w:t>
      </w:r>
      <w:r>
        <w:rPr>
          <w:rFonts w:hint="eastAsia" w:ascii="仿宋_GB2312" w:eastAsia="仿宋_GB2312" w:cstheme="minorBidi"/>
          <w:kern w:val="2"/>
          <w:sz w:val="32"/>
          <w:szCs w:val="32"/>
          <w:lang w:val="en-US" w:eastAsia="zh-CN" w:bidi="ar-SA"/>
        </w:rPr>
        <w:t>8</w:t>
      </w:r>
      <w:bookmarkStart w:id="1" w:name="_GoBack"/>
      <w:bookmarkEnd w:id="1"/>
      <w:r>
        <w:rPr>
          <w:rFonts w:hint="eastAsia" w:ascii="仿宋_GB2312" w:eastAsia="仿宋_GB2312" w:hAnsiTheme="minorHAnsi" w:cstheme="minorBidi"/>
          <w:kern w:val="2"/>
          <w:sz w:val="32"/>
          <w:szCs w:val="32"/>
          <w:lang w:val="en-US" w:eastAsia="zh-CN" w:bidi="ar-SA"/>
        </w:rPr>
        <w:t xml:space="preserve">日  </w:t>
      </w:r>
    </w:p>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方正小标宋简体" w:eastAsia="方正小标宋简体" w:hAnsiTheme="minorHAnsi" w:cstheme="minorBidi"/>
          <w:bCs/>
          <w:w w:val="95"/>
          <w:kern w:val="2"/>
          <w:sz w:val="44"/>
          <w:szCs w:val="44"/>
          <w:lang w:val="en-US" w:eastAsia="zh-CN" w:bidi="ar-SA"/>
        </w:rPr>
      </w:pPr>
      <w:r>
        <w:rPr>
          <w:rFonts w:hint="eastAsia" w:ascii="黑体" w:hAnsi="黑体" w:eastAsia="黑体" w:cs="黑体"/>
          <w:sz w:val="32"/>
          <w:szCs w:val="32"/>
          <w:lang w:val="en-US" w:eastAsia="zh-CN"/>
        </w:rPr>
        <w:t>附件1</w:t>
      </w:r>
    </w:p>
    <w:p>
      <w:pPr>
        <w:pStyle w:val="8"/>
        <w:widowControl/>
        <w:shd w:val="clear" w:color="auto" w:fill="FFFFFF"/>
        <w:spacing w:beforeAutospacing="0" w:afterAutospacing="0" w:line="700" w:lineRule="atLeast"/>
        <w:jc w:val="center"/>
        <w:rPr>
          <w:rFonts w:hint="default" w:ascii="仿宋_GB2312" w:hAnsi="仿宋_GB2312" w:eastAsia="仿宋_GB2312" w:cs="仿宋_GB2312"/>
          <w:b/>
          <w:bCs/>
          <w:color w:val="424242"/>
          <w:sz w:val="32"/>
          <w:szCs w:val="32"/>
          <w:shd w:val="clear" w:color="auto" w:fill="FFFFFF"/>
          <w:lang w:val="en-US"/>
        </w:rPr>
      </w:pPr>
      <w:r>
        <w:rPr>
          <w:rFonts w:hint="eastAsia" w:ascii="方正小标宋简体" w:eastAsia="方正小标宋简体" w:hAnsiTheme="minorHAnsi" w:cstheme="minorBidi"/>
          <w:bCs/>
          <w:w w:val="95"/>
          <w:kern w:val="2"/>
          <w:sz w:val="44"/>
          <w:szCs w:val="44"/>
          <w:lang w:val="en-US" w:eastAsia="zh-CN" w:bidi="ar-SA"/>
        </w:rPr>
        <w:t>规划调整</w:t>
      </w:r>
      <w:r>
        <w:rPr>
          <w:rFonts w:hint="eastAsia" w:ascii="方正小标宋简体" w:eastAsia="方正小标宋简体" w:cstheme="minorBidi"/>
          <w:bCs/>
          <w:w w:val="95"/>
          <w:kern w:val="2"/>
          <w:sz w:val="44"/>
          <w:szCs w:val="44"/>
          <w:lang w:val="en-US" w:eastAsia="zh-CN" w:bidi="ar-SA"/>
        </w:rPr>
        <w:t>说明</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textAlignment w:val="auto"/>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一、规划调整背景</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一</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构建农产品现代流通网络，促进城乡经济发展的需要——农贸市场作为农产品的展示和销售平台，不仅是农产品流通的关键环节，也是城乡经济的重要纽带，是连接农业生产与居民消费的重要平台</w:t>
      </w:r>
      <w:r>
        <w:rPr>
          <w:rFonts w:hint="eastAsia" w:ascii="仿宋_GB2312" w:hAnsi="仿宋_GB2312" w:eastAsia="仿宋_GB2312" w:cs="仿宋_GB2312"/>
          <w:color w:val="auto"/>
          <w:sz w:val="32"/>
          <w:szCs w:val="32"/>
          <w:shd w:val="clear" w:color="auto" w:fill="FFFFFF"/>
          <w:lang w:eastAsia="zh-CN"/>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二</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完善城乡基础设施建设，提升城市品质魅力的需要——推动市政公用设施提档升级，完善农贸市场、公共厕所、停车场等基础配套是提升城市品质魅力的重要举措之一</w:t>
      </w:r>
      <w:r>
        <w:rPr>
          <w:rFonts w:hint="eastAsia" w:ascii="仿宋_GB2312" w:hAnsi="仿宋_GB2312" w:eastAsia="仿宋_GB2312" w:cs="仿宋_GB2312"/>
          <w:color w:val="auto"/>
          <w:sz w:val="32"/>
          <w:szCs w:val="32"/>
          <w:shd w:val="clear" w:color="auto" w:fill="FFFFFF"/>
          <w:lang w:eastAsia="zh-CN"/>
        </w:rPr>
        <w:t>。</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三</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落实“四公一农”建设提升行动实施方案的需要——本次规划调整涉及方舟新城农贸市场新建项目（含公共停车场），作为服务黄旗坝组团的综合性农贸市场，选址位于《犍为县县城控制性详细规划》（以下简称县城控规）黄旗大道北段规划沉犀公园（暂定名）所在街区。</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textAlignment w:val="auto"/>
        <w:rPr>
          <w:rFonts w:ascii="黑体" w:hAnsi="黑体" w:eastAsia="黑体" w:cs="黑体"/>
          <w:color w:val="auto"/>
          <w:sz w:val="32"/>
          <w:szCs w:val="32"/>
          <w:shd w:val="clear" w:color="auto" w:fill="FFFFFF"/>
        </w:rPr>
      </w:pPr>
      <w:bookmarkStart w:id="0" w:name="_Toc358296559"/>
      <w:r>
        <w:rPr>
          <w:rFonts w:hint="eastAsia" w:ascii="黑体" w:hAnsi="黑体" w:eastAsia="黑体" w:cs="黑体"/>
          <w:color w:val="auto"/>
          <w:sz w:val="32"/>
          <w:szCs w:val="32"/>
          <w:shd w:val="clear" w:color="auto" w:fill="FFFFFF"/>
        </w:rPr>
        <w:t>二、</w:t>
      </w:r>
      <w:bookmarkEnd w:id="0"/>
      <w:r>
        <w:rPr>
          <w:rFonts w:hint="eastAsia" w:ascii="黑体" w:hAnsi="黑体" w:eastAsia="黑体" w:cs="黑体"/>
          <w:color w:val="auto"/>
          <w:sz w:val="32"/>
          <w:szCs w:val="32"/>
          <w:shd w:val="clear" w:color="auto" w:fill="FFFFFF"/>
        </w:rPr>
        <w:t>调整范围</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本次规划主要涉及对原县城控规QW(YJ.E)-c-01街区局部地块的调整。</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textAlignment w:val="auto"/>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三、调整内容</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一</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根据已批复《犍为县国土空间总体规划（2021-2035年）》（以下简称犍为空规），落实位于原县城控规QW(YJ.E)-c-01街区的规划支路。</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二</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根据犍为空规用地布局及方舟新城农贸市场新建项目（含公共停车场）调整规划支路南侧地块的用地性质及用地边界。其中调整后QW(YJ.E)-c-01-01地块（公园绿地）、QW(YJ.E)-c-01-02地块（居住用地，选择性兼容公园绿地）、QW(YJ.E)-c-01-05地块（文化设施用地）、QW(YJ.E)-c-01-06地块（服务设施用地）、QW(YJ.E)-c-01-07地块（商业用地，选择性兼容居住用地）与犍为空规保持一致。QW(YJ.E)-c-01-03地块用地性质为商业用地，面积0.7948公顷，</w:t>
      </w:r>
      <w:r>
        <w:rPr>
          <w:rFonts w:hint="eastAsia" w:ascii="仿宋_GB2312" w:hAnsi="仿宋_GB2312" w:eastAsia="仿宋_GB2312" w:cs="仿宋_GB2312"/>
          <w:color w:val="auto"/>
          <w:sz w:val="32"/>
          <w:szCs w:val="32"/>
          <w:shd w:val="clear" w:color="auto" w:fill="FFFFFF"/>
          <w:lang w:val="en-US" w:eastAsia="zh-CN"/>
        </w:rPr>
        <w:t>作为</w:t>
      </w:r>
      <w:r>
        <w:rPr>
          <w:rFonts w:hint="eastAsia" w:ascii="仿宋_GB2312" w:hAnsi="仿宋_GB2312" w:eastAsia="仿宋_GB2312" w:cs="仿宋_GB2312"/>
          <w:color w:val="auto"/>
          <w:sz w:val="32"/>
          <w:szCs w:val="32"/>
          <w:shd w:val="clear" w:color="auto" w:fill="FFFFFF"/>
        </w:rPr>
        <w:t>方舟新城农贸市场</w:t>
      </w:r>
      <w:r>
        <w:rPr>
          <w:rFonts w:hint="eastAsia" w:ascii="仿宋_GB2312" w:hAnsi="仿宋_GB2312" w:eastAsia="仿宋_GB2312" w:cs="仿宋_GB2312"/>
          <w:color w:val="auto"/>
          <w:sz w:val="32"/>
          <w:szCs w:val="32"/>
          <w:shd w:val="clear" w:color="auto" w:fill="FFFFFF"/>
          <w:lang w:val="en-US" w:eastAsia="zh-CN"/>
        </w:rPr>
        <w:t>新建用地</w:t>
      </w:r>
      <w:r>
        <w:rPr>
          <w:rFonts w:hint="eastAsia" w:ascii="仿宋_GB2312" w:hAnsi="仿宋_GB2312" w:eastAsia="仿宋_GB2312" w:cs="仿宋_GB2312"/>
          <w:color w:val="auto"/>
          <w:sz w:val="32"/>
          <w:szCs w:val="32"/>
          <w:shd w:val="clear" w:color="auto" w:fill="FFFFFF"/>
        </w:rPr>
        <w:t>，QW(YJ.E)-c-01-04地块用地性质为社会停车场用地，面积0.4649公顷，根据相关规范要求配置停车位。（注：选择性兼容地块，在土地出让或者划拨前，由城乡规划主管部门选定一项用地性质及其对应的规划指标进行管理）</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30"/>
        <w:jc w:val="both"/>
        <w:textAlignment w:val="auto"/>
        <w:rPr>
          <w:rFonts w:hint="eastAsia" w:asciiTheme="minorEastAsia" w:hAnsiTheme="minorEastAsia" w:cstheme="minorEastAsia"/>
          <w:b/>
          <w:bCs/>
          <w:color w:val="424242"/>
          <w:sz w:val="32"/>
          <w:szCs w:val="32"/>
          <w:shd w:val="clear" w:color="auto" w:fill="FFFFFF"/>
        </w:rPr>
        <w:sectPr>
          <w:pgSz w:w="11906" w:h="16838"/>
          <w:pgMar w:top="1440" w:right="1800" w:bottom="1440" w:left="1800" w:header="851" w:footer="992" w:gutter="0"/>
          <w:cols w:space="425" w:num="1"/>
          <w:docGrid w:type="lines" w:linePitch="312" w:charSpace="0"/>
        </w:sectPr>
      </w:pPr>
    </w:p>
    <w:p>
      <w:pPr>
        <w:pStyle w:val="8"/>
        <w:widowControl/>
        <w:shd w:val="clear" w:color="auto" w:fill="FFFFFF"/>
        <w:spacing w:beforeAutospacing="0" w:afterAutospacing="0" w:line="700" w:lineRule="atLeast"/>
        <w:jc w:val="both"/>
        <w:rPr>
          <w:rFonts w:hint="eastAsia" w:ascii="黑体" w:hAnsi="黑体" w:eastAsia="黑体" w:cs="黑体"/>
          <w:b/>
          <w:bCs/>
          <w:color w:val="424242"/>
          <w:sz w:val="32"/>
          <w:szCs w:val="32"/>
          <w:shd w:val="clear" w:color="auto" w:fill="FFFFFF"/>
        </w:rPr>
      </w:pPr>
      <w:r>
        <w:rPr>
          <w:rFonts w:hint="eastAsia" w:ascii="黑体" w:hAnsi="黑体" w:eastAsia="黑体" w:cs="黑体"/>
          <w:b/>
          <w:bCs/>
          <w:color w:val="424242"/>
          <w:sz w:val="32"/>
          <w:szCs w:val="32"/>
          <w:shd w:val="clear" w:color="auto" w:fill="FFFFFF"/>
        </w:rPr>
        <w:t>附件2：调整前后图则</w:t>
      </w:r>
    </w:p>
    <w:p>
      <w:pPr>
        <w:pStyle w:val="8"/>
        <w:widowControl/>
        <w:shd w:val="clear" w:color="auto" w:fill="FFFFFF"/>
        <w:spacing w:beforeAutospacing="0" w:afterAutospacing="0" w:line="700" w:lineRule="atLeast"/>
        <w:ind w:firstLine="630"/>
        <w:jc w:val="both"/>
        <w:rPr>
          <w:rFonts w:asciiTheme="minorEastAsia" w:hAnsiTheme="minorEastAsia" w:cstheme="minorEastAsia"/>
          <w:color w:val="424242"/>
          <w:sz w:val="32"/>
          <w:szCs w:val="32"/>
          <w:shd w:val="clear" w:color="auto" w:fill="FFFFFF"/>
        </w:rPr>
        <w:sectPr>
          <w:pgSz w:w="16838" w:h="11906" w:orient="landscape"/>
          <w:pgMar w:top="1800" w:right="1440" w:bottom="1800" w:left="1440" w:header="851" w:footer="992" w:gutter="0"/>
          <w:cols w:space="425" w:num="1"/>
          <w:docGrid w:type="lines" w:linePitch="312" w:charSpace="0"/>
        </w:sectPr>
      </w:pPr>
      <w:r>
        <w:rPr>
          <w:rFonts w:ascii="仿宋_GB2312" w:hAnsi="Calibri" w:eastAsia="仿宋_GB2312" w:cs="仿宋_GB2312"/>
          <w:color w:val="424242"/>
          <w:sz w:val="32"/>
          <w:szCs w:val="32"/>
          <w:shd w:val="clear" w:color="auto" w:fill="FFFFFF"/>
        </w:rPr>
        <w:drawing>
          <wp:inline distT="0" distB="0" distL="0" distR="0">
            <wp:extent cx="6699885" cy="473583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699885" cy="4735830"/>
                    </a:xfrm>
                    <a:prstGeom prst="rect">
                      <a:avLst/>
                    </a:prstGeom>
                  </pic:spPr>
                </pic:pic>
              </a:graphicData>
            </a:graphic>
          </wp:inline>
        </w:drawing>
      </w:r>
    </w:p>
    <w:p>
      <w:pPr>
        <w:pStyle w:val="8"/>
        <w:widowControl/>
        <w:shd w:val="clear" w:color="auto" w:fill="FFFFFF"/>
        <w:spacing w:beforeAutospacing="0" w:afterAutospacing="0" w:line="700" w:lineRule="atLeast"/>
        <w:rPr>
          <w:rFonts w:ascii="仿宋_GB2312" w:hAnsi="Calibri" w:eastAsia="仿宋_GB2312" w:cs="仿宋_GB2312"/>
          <w:color w:val="424242"/>
          <w:sz w:val="32"/>
          <w:szCs w:val="32"/>
          <w:shd w:val="clear" w:color="auto" w:fill="FFFFFF"/>
        </w:rPr>
      </w:pPr>
      <w:r>
        <w:rPr>
          <w:rFonts w:ascii="仿宋_GB2312" w:hAnsi="Calibri" w:eastAsia="仿宋_GB2312" w:cs="仿宋_GB2312"/>
          <w:color w:val="424242"/>
          <w:sz w:val="32"/>
          <w:szCs w:val="32"/>
          <w:shd w:val="clear" w:color="auto" w:fill="FFFFFF"/>
        </w:rPr>
        <w:drawing>
          <wp:inline distT="0" distB="0" distL="0" distR="0">
            <wp:extent cx="7461885" cy="5274310"/>
            <wp:effectExtent l="0" t="0" r="571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461885" cy="5274310"/>
                    </a:xfrm>
                    <a:prstGeom prst="rect">
                      <a:avLst/>
                    </a:prstGeom>
                  </pic:spPr>
                </pic:pic>
              </a:graphicData>
            </a:graphic>
          </wp:inline>
        </w:drawing>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055429"/>
    <w:multiLevelType w:val="multilevel"/>
    <w:tmpl w:val="5D055429"/>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D3F37"/>
    <w:rsid w:val="000B7ABC"/>
    <w:rsid w:val="001E2AA6"/>
    <w:rsid w:val="00350711"/>
    <w:rsid w:val="005D175F"/>
    <w:rsid w:val="00653DA8"/>
    <w:rsid w:val="00771EF8"/>
    <w:rsid w:val="00785343"/>
    <w:rsid w:val="00916E2F"/>
    <w:rsid w:val="0097739B"/>
    <w:rsid w:val="00AC4AB1"/>
    <w:rsid w:val="00AD7A3E"/>
    <w:rsid w:val="00BF6E4B"/>
    <w:rsid w:val="00FF0F99"/>
    <w:rsid w:val="0C2B6DC1"/>
    <w:rsid w:val="0E625C06"/>
    <w:rsid w:val="113749AA"/>
    <w:rsid w:val="15AB4690"/>
    <w:rsid w:val="239C34FD"/>
    <w:rsid w:val="245640D8"/>
    <w:rsid w:val="29AB7D45"/>
    <w:rsid w:val="2BDD3F37"/>
    <w:rsid w:val="2C1438DF"/>
    <w:rsid w:val="2F1E34E9"/>
    <w:rsid w:val="3068600D"/>
    <w:rsid w:val="324D514B"/>
    <w:rsid w:val="39FF5814"/>
    <w:rsid w:val="3B9B042F"/>
    <w:rsid w:val="3ED15697"/>
    <w:rsid w:val="416F3082"/>
    <w:rsid w:val="4EE7348E"/>
    <w:rsid w:val="4F8908AB"/>
    <w:rsid w:val="502C30F7"/>
    <w:rsid w:val="50357D7D"/>
    <w:rsid w:val="50D07E7E"/>
    <w:rsid w:val="62AE447C"/>
    <w:rsid w:val="62D31883"/>
    <w:rsid w:val="781E360E"/>
    <w:rsid w:val="7CE01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9"/>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qFormat/>
    <w:uiPriority w:val="99"/>
    <w:pPr>
      <w:keepNext/>
      <w:keepLines/>
      <w:numPr>
        <w:ilvl w:val="2"/>
        <w:numId w:val="1"/>
      </w:numPr>
      <w:spacing w:before="260" w:after="260" w:line="416" w:lineRule="auto"/>
      <w:outlineLvl w:val="2"/>
    </w:pPr>
    <w:rPr>
      <w:rFonts w:ascii="Times New Roman" w:hAnsi="Times New Roman" w:eastAsia="宋体" w:cs="Times New Roman"/>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qFormat/>
    <w:uiPriority w:val="0"/>
    <w:pPr>
      <w:spacing w:line="440" w:lineRule="exact"/>
      <w:ind w:firstLine="703"/>
    </w:pPr>
    <w:rPr>
      <w:sz w:val="30"/>
    </w:rPr>
  </w:style>
  <w:style w:type="paragraph" w:styleId="5">
    <w:name w:val="Body Text Indent"/>
    <w:basedOn w:val="1"/>
    <w:qFormat/>
    <w:uiPriority w:val="0"/>
    <w:pPr>
      <w:ind w:firstLine="420" w:firstLineChars="200"/>
    </w:p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Hyperlink"/>
    <w:basedOn w:val="10"/>
    <w:qFormat/>
    <w:uiPriority w:val="0"/>
    <w:rPr>
      <w:color w:val="0000FF"/>
      <w:u w:val="single"/>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944</Words>
  <Characters>1149</Characters>
  <Lines>8</Lines>
  <Paragraphs>2</Paragraphs>
  <TotalTime>36</TotalTime>
  <ScaleCrop>false</ScaleCrop>
  <LinksUpToDate>false</LinksUpToDate>
  <CharactersWithSpaces>1186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2025-06-16T07:43:00Z</dcterms:created>
  <dc:creator>Administrator</dc:creator>
  <cp:lastModifiedBy>TF</cp:lastModifiedBy>
  <cp:lastPrinted>2025-06-17T08:52:07Z</cp:lastPrinted>
  <dcterms:modified xsi:type="dcterms:W3CDTF">2025-06-17T09:18:55Z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759A420ED0A14B67839CD68C0EF4733B_13</vt:lpwstr>
  </property>
  <property fmtid="{D5CDD505-2E9C-101B-9397-08002B2CF9AE}" pid="4" name="KSOTemplateDocerSaveRecord">
    <vt:lpwstr>eyJoZGlkIjoiZmRjOTVkNmJkMjk2OTgzNTIxY2VhNjk0N2Y4ZjVmN2QiLCJ1c2VySWQiOiIyNzk0NDQ3OTYifQ==</vt:lpwstr>
  </property>
</Properties>
</file>