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BB31A">
      <w:pPr>
        <w:adjustRightInd w:val="0"/>
        <w:snapToGrid w:val="0"/>
        <w:spacing w:line="16" w:lineRule="atLeast"/>
        <w:jc w:val="center"/>
        <w:rPr>
          <w:rFonts w:hint="eastAsia" w:ascii="方正小标宋简体" w:eastAsia="方正小标宋简体"/>
          <w:sz w:val="44"/>
          <w:szCs w:val="44"/>
        </w:rPr>
      </w:pPr>
      <w:r>
        <w:rPr>
          <w:rFonts w:hint="eastAsia" w:ascii="方正小标宋简体" w:eastAsia="方正小标宋简体"/>
          <w:sz w:val="44"/>
          <w:szCs w:val="44"/>
        </w:rPr>
        <w:t>犍为县自然资源局</w:t>
      </w:r>
    </w:p>
    <w:p w14:paraId="0C0961B8">
      <w:pPr>
        <w:adjustRightInd w:val="0"/>
        <w:snapToGrid w:val="0"/>
        <w:spacing w:line="16" w:lineRule="atLeast"/>
        <w:jc w:val="center"/>
        <w:rPr>
          <w:rFonts w:hint="eastAsia" w:ascii="方正小标宋简体" w:eastAsia="方正小标宋简体"/>
          <w:bCs/>
          <w:w w:val="95"/>
          <w:sz w:val="44"/>
          <w:szCs w:val="44"/>
        </w:rPr>
      </w:pPr>
      <w:r>
        <w:rPr>
          <w:rFonts w:hint="eastAsia" w:ascii="方正小标宋简体" w:eastAsia="方正小标宋简体"/>
          <w:bCs/>
          <w:w w:val="95"/>
          <w:sz w:val="44"/>
          <w:szCs w:val="44"/>
        </w:rPr>
        <w:t>关</w:t>
      </w:r>
      <w:r>
        <w:rPr>
          <w:rFonts w:hint="eastAsia" w:ascii="方正小标宋简体" w:eastAsia="方正小标宋简体"/>
          <w:sz w:val="44"/>
          <w:szCs w:val="44"/>
        </w:rPr>
        <w:t>于《</w:t>
      </w:r>
      <w:r>
        <w:rPr>
          <w:rFonts w:hint="default" w:ascii="方正小标宋简体" w:eastAsia="方正小标宋简体"/>
          <w:sz w:val="44"/>
          <w:szCs w:val="44"/>
          <w:lang w:val="en-US" w:eastAsia="zh-CN"/>
        </w:rPr>
        <w:t>犍为县中心城区详细规划单元G（孝姑）局部地块（静脉产业园）选址方案</w:t>
      </w:r>
      <w:r>
        <w:rPr>
          <w:rFonts w:hint="eastAsia" w:ascii="方正小标宋简体" w:eastAsia="方正小标宋简体"/>
          <w:sz w:val="44"/>
          <w:szCs w:val="44"/>
        </w:rPr>
        <w:t>》的</w:t>
      </w:r>
    </w:p>
    <w:p w14:paraId="544495D8">
      <w:pPr>
        <w:adjustRightInd w:val="0"/>
        <w:snapToGrid w:val="0"/>
        <w:spacing w:line="16" w:lineRule="atLeast"/>
        <w:jc w:val="center"/>
        <w:rPr>
          <w:rFonts w:hint="eastAsia" w:ascii="方正小标宋简体" w:eastAsia="方正小标宋简体"/>
          <w:bCs/>
          <w:sz w:val="44"/>
          <w:szCs w:val="44"/>
        </w:rPr>
      </w:pPr>
      <w:r>
        <w:rPr>
          <w:rFonts w:hint="eastAsia" w:ascii="方正小标宋简体" w:eastAsia="方正小标宋简体"/>
          <w:bCs/>
          <w:w w:val="95"/>
          <w:sz w:val="44"/>
          <w:szCs w:val="44"/>
        </w:rPr>
        <w:t>公</w:t>
      </w:r>
      <w:r>
        <w:rPr>
          <w:rFonts w:hint="eastAsia" w:ascii="方正小标宋简体" w:eastAsia="方正小标宋简体"/>
          <w:bCs/>
          <w:w w:val="95"/>
          <w:sz w:val="44"/>
          <w:szCs w:val="44"/>
          <w:lang w:val="en-US" w:eastAsia="zh-CN"/>
        </w:rPr>
        <w:t xml:space="preserve">  </w:t>
      </w:r>
      <w:r>
        <w:rPr>
          <w:rFonts w:hint="eastAsia" w:ascii="方正小标宋简体" w:eastAsia="方正小标宋简体"/>
          <w:bCs/>
          <w:w w:val="95"/>
          <w:sz w:val="44"/>
          <w:szCs w:val="44"/>
        </w:rPr>
        <w:t>示</w:t>
      </w:r>
    </w:p>
    <w:p w14:paraId="7B36C50F">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14:paraId="60BBB1D1">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firstLine="629"/>
        <w:jc w:val="both"/>
        <w:textAlignment w:val="auto"/>
        <w:rPr>
          <w:rFonts w:hint="eastAsia" w:ascii="仿宋_GB2312" w:hAnsi="仿宋_GB2312" w:eastAsia="仿宋_GB2312" w:cs="仿宋_GB2312"/>
          <w:color w:val="424242"/>
          <w:sz w:val="32"/>
          <w:szCs w:val="32"/>
          <w:shd w:val="clear" w:color="auto" w:fill="FFFFFF"/>
        </w:rPr>
      </w:pPr>
      <w:r>
        <w:rPr>
          <w:rFonts w:hint="eastAsia" w:ascii="仿宋_GB2312" w:hAnsi="仿宋_GB2312" w:eastAsia="仿宋_GB2312" w:cs="仿宋_GB2312"/>
          <w:i w:val="0"/>
          <w:iCs w:val="0"/>
          <w:caps w:val="0"/>
          <w:color w:val="auto"/>
          <w:spacing w:val="0"/>
          <w:sz w:val="32"/>
          <w:szCs w:val="32"/>
          <w:shd w:val="clear" w:fill="FFFFFF"/>
          <w:lang w:val="en-US" w:eastAsia="zh-CN"/>
        </w:rPr>
        <w:t>《犍为县中心城区详细规划单元G（孝姑）局部地块（静脉产业园）选址方案》于</w:t>
      </w:r>
      <w:r>
        <w:rPr>
          <w:rFonts w:hint="eastAsia" w:ascii="仿宋_GB2312" w:hAnsi="仿宋_GB2312" w:eastAsia="仿宋_GB2312" w:cs="仿宋_GB2312"/>
          <w:i w:val="0"/>
          <w:iCs w:val="0"/>
          <w:caps w:val="0"/>
          <w:color w:val="auto"/>
          <w:spacing w:val="0"/>
          <w:sz w:val="32"/>
          <w:szCs w:val="32"/>
          <w:shd w:val="clear" w:fill="FFFFFF"/>
        </w:rPr>
        <w:t>20</w:t>
      </w:r>
      <w:r>
        <w:rPr>
          <w:rFonts w:hint="eastAsia" w:ascii="仿宋_GB2312" w:hAnsi="仿宋_GB2312" w:eastAsia="仿宋_GB2312" w:cs="仿宋_GB2312"/>
          <w:i w:val="0"/>
          <w:iCs w:val="0"/>
          <w:caps w:val="0"/>
          <w:color w:val="auto"/>
          <w:spacing w:val="0"/>
          <w:sz w:val="32"/>
          <w:szCs w:val="32"/>
          <w:shd w:val="clear" w:fill="FFFFFF"/>
          <w:lang w:val="en-US" w:eastAsia="zh-CN"/>
        </w:rPr>
        <w:t>25年6月16日经犍为县国土空间规划委员会2025年第3次</w:t>
      </w:r>
      <w:r>
        <w:rPr>
          <w:rFonts w:hint="eastAsia" w:ascii="仿宋_GB2312" w:hAnsi="仿宋_GB2312" w:eastAsia="仿宋_GB2312" w:cs="仿宋_GB2312"/>
          <w:i w:val="0"/>
          <w:iCs w:val="0"/>
          <w:caps w:val="0"/>
          <w:color w:val="auto"/>
          <w:spacing w:val="0"/>
          <w:sz w:val="32"/>
          <w:szCs w:val="32"/>
          <w:shd w:val="clear" w:fill="FFFFFF"/>
        </w:rPr>
        <w:t>会议</w:t>
      </w:r>
      <w:r>
        <w:rPr>
          <w:rFonts w:hint="eastAsia" w:ascii="仿宋_GB2312" w:hAnsi="仿宋_GB2312" w:eastAsia="仿宋_GB2312" w:cs="仿宋_GB2312"/>
          <w:i w:val="0"/>
          <w:iCs w:val="0"/>
          <w:caps w:val="0"/>
          <w:color w:val="auto"/>
          <w:spacing w:val="0"/>
          <w:sz w:val="32"/>
          <w:szCs w:val="32"/>
          <w:shd w:val="clear" w:fill="FFFFFF"/>
          <w:lang w:val="en-US" w:eastAsia="zh-CN"/>
        </w:rPr>
        <w:t>审查通过</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val="en-US" w:eastAsia="zh-CN"/>
        </w:rPr>
        <w:t>根据</w:t>
      </w:r>
      <w:r>
        <w:rPr>
          <w:rFonts w:hint="eastAsia" w:ascii="仿宋_GB2312" w:hAnsi="仿宋_GB2312" w:eastAsia="仿宋_GB2312" w:cs="仿宋_GB2312"/>
          <w:i w:val="0"/>
          <w:iCs w:val="0"/>
          <w:caps w:val="0"/>
          <w:color w:val="auto"/>
          <w:spacing w:val="0"/>
          <w:sz w:val="32"/>
          <w:szCs w:val="32"/>
          <w:shd w:val="clear" w:fill="FFFFFF"/>
        </w:rPr>
        <w:t>《中华人民共和国城乡规划法》《四川省城乡规划条例》等相关规定，现将以上规划</w:t>
      </w:r>
      <w:r>
        <w:rPr>
          <w:rFonts w:hint="eastAsia" w:ascii="仿宋_GB2312" w:hAnsi="仿宋_GB2312" w:eastAsia="仿宋_GB2312" w:cs="仿宋_GB2312"/>
          <w:i w:val="0"/>
          <w:iCs w:val="0"/>
          <w:caps w:val="0"/>
          <w:color w:val="auto"/>
          <w:spacing w:val="0"/>
          <w:sz w:val="32"/>
          <w:szCs w:val="32"/>
          <w:shd w:val="clear" w:fill="FFFFFF"/>
          <w:lang w:val="en-US" w:eastAsia="zh-CN"/>
        </w:rPr>
        <w:t>选址论证</w:t>
      </w:r>
      <w:r>
        <w:rPr>
          <w:rFonts w:hint="eastAsia" w:ascii="仿宋_GB2312" w:hAnsi="仿宋_GB2312" w:eastAsia="仿宋_GB2312" w:cs="仿宋_GB2312"/>
          <w:i w:val="0"/>
          <w:iCs w:val="0"/>
          <w:caps w:val="0"/>
          <w:color w:val="auto"/>
          <w:spacing w:val="0"/>
          <w:sz w:val="32"/>
          <w:szCs w:val="32"/>
          <w:shd w:val="clear" w:fill="FFFFFF"/>
        </w:rPr>
        <w:t>予以</w:t>
      </w:r>
      <w:r>
        <w:rPr>
          <w:rFonts w:hint="eastAsia" w:ascii="仿宋_GB2312" w:hAnsi="仿宋_GB2312" w:eastAsia="仿宋_GB2312" w:cs="仿宋_GB2312"/>
          <w:i w:val="0"/>
          <w:iCs w:val="0"/>
          <w:caps w:val="0"/>
          <w:color w:val="auto"/>
          <w:spacing w:val="0"/>
          <w:sz w:val="32"/>
          <w:szCs w:val="32"/>
          <w:shd w:val="clear" w:fill="FFFFFF"/>
          <w:lang w:val="en-US" w:eastAsia="zh-CN"/>
        </w:rPr>
        <w:t>公示</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color w:val="auto"/>
          <w:sz w:val="32"/>
          <w:szCs w:val="32"/>
          <w:shd w:val="clear" w:color="auto" w:fill="auto"/>
        </w:rPr>
        <w:t>征求社会</w:t>
      </w:r>
      <w:r>
        <w:rPr>
          <w:rFonts w:hint="eastAsia" w:ascii="仿宋_GB2312" w:hAnsi="仿宋_GB2312" w:eastAsia="仿宋_GB2312" w:cs="仿宋_GB2312"/>
          <w:color w:val="auto"/>
          <w:sz w:val="32"/>
          <w:szCs w:val="32"/>
          <w:shd w:val="clear" w:color="auto" w:fill="auto"/>
          <w:lang w:val="en-US" w:eastAsia="zh-CN"/>
        </w:rPr>
        <w:t>公众</w:t>
      </w:r>
      <w:r>
        <w:rPr>
          <w:rFonts w:hint="eastAsia" w:ascii="仿宋_GB2312" w:hAnsi="仿宋_GB2312" w:eastAsia="仿宋_GB2312" w:cs="仿宋_GB2312"/>
          <w:color w:val="auto"/>
          <w:sz w:val="32"/>
          <w:szCs w:val="32"/>
          <w:shd w:val="clear" w:color="auto" w:fill="auto"/>
        </w:rPr>
        <w:t>意见</w:t>
      </w:r>
      <w:r>
        <w:rPr>
          <w:rFonts w:hint="eastAsia" w:ascii="仿宋_GB2312" w:hAnsi="仿宋_GB2312" w:eastAsia="仿宋_GB2312" w:cs="仿宋_GB2312"/>
          <w:color w:val="auto"/>
          <w:sz w:val="32"/>
          <w:szCs w:val="32"/>
          <w:shd w:val="clear" w:color="auto" w:fill="auto"/>
          <w:lang w:eastAsia="zh-CN"/>
        </w:rPr>
        <w:t>，</w:t>
      </w:r>
      <w:r>
        <w:rPr>
          <w:rFonts w:hint="eastAsia" w:ascii="仿宋_GB2312" w:eastAsia="仿宋_GB2312"/>
          <w:color w:val="auto"/>
          <w:sz w:val="32"/>
          <w:szCs w:val="32"/>
          <w:shd w:val="clear" w:color="auto" w:fill="auto"/>
        </w:rPr>
        <w:t>如有异议，请在公示期内以书面形式函告我局。</w:t>
      </w:r>
      <w:r>
        <w:rPr>
          <w:rFonts w:hint="eastAsia" w:ascii="黑体" w:eastAsia="黑体"/>
          <w:sz w:val="32"/>
          <w:szCs w:val="32"/>
        </w:rPr>
        <w:t>公示期为</w:t>
      </w:r>
      <w:r>
        <w:rPr>
          <w:rFonts w:hint="eastAsia" w:ascii="黑体" w:eastAsia="黑体"/>
          <w:sz w:val="32"/>
          <w:szCs w:val="32"/>
          <w:lang w:val="en-US" w:eastAsia="zh-CN"/>
        </w:rPr>
        <w:t>30日（2025年6月21日至7月20日）</w:t>
      </w:r>
      <w:r>
        <w:rPr>
          <w:rFonts w:hint="eastAsia" w:ascii="黑体" w:eastAsia="黑体"/>
          <w:sz w:val="32"/>
          <w:szCs w:val="32"/>
        </w:rPr>
        <w:t>。</w:t>
      </w:r>
    </w:p>
    <w:p w14:paraId="56E8DA3A">
      <w:pPr>
        <w:keepNext w:val="0"/>
        <w:keepLines w:val="0"/>
        <w:pageBreakBefore w:val="0"/>
        <w:kinsoku/>
        <w:wordWrap/>
        <w:overflowPunct/>
        <w:topLinePunct w:val="0"/>
        <w:autoSpaceDE/>
        <w:autoSpaceDN/>
        <w:bidi w:val="0"/>
        <w:adjustRightInd w:val="0"/>
        <w:snapToGrid w:val="0"/>
        <w:spacing w:beforeAutospacing="0" w:afterAutospacing="0" w:line="600" w:lineRule="exact"/>
        <w:ind w:firstLine="646"/>
        <w:textAlignment w:val="auto"/>
        <w:rPr>
          <w:rFonts w:hint="eastAsia" w:ascii="仿宋_GB2312" w:eastAsia="仿宋_GB2312"/>
          <w:sz w:val="32"/>
          <w:szCs w:val="32"/>
        </w:rPr>
      </w:pPr>
      <w:r>
        <w:rPr>
          <w:rFonts w:hint="eastAsia" w:ascii="仿宋_GB2312" w:eastAsia="仿宋_GB2312"/>
          <w:sz w:val="32"/>
          <w:szCs w:val="32"/>
        </w:rPr>
        <w:t>通讯地址：犍为县滨江路347号自然资源局</w:t>
      </w:r>
    </w:p>
    <w:p w14:paraId="114280D9">
      <w:pPr>
        <w:keepNext w:val="0"/>
        <w:keepLines w:val="0"/>
        <w:pageBreakBefore w:val="0"/>
        <w:kinsoku/>
        <w:wordWrap/>
        <w:overflowPunct/>
        <w:topLinePunct w:val="0"/>
        <w:autoSpaceDE/>
        <w:autoSpaceDN/>
        <w:bidi w:val="0"/>
        <w:adjustRightInd w:val="0"/>
        <w:snapToGrid w:val="0"/>
        <w:spacing w:beforeAutospacing="0" w:afterAutospacing="0" w:line="600" w:lineRule="exact"/>
        <w:ind w:firstLine="646"/>
        <w:textAlignment w:val="auto"/>
        <w:rPr>
          <w:rFonts w:hint="eastAsia" w:ascii="仿宋_GB2312" w:eastAsia="仿宋_GB2312"/>
          <w:sz w:val="32"/>
          <w:szCs w:val="32"/>
        </w:rPr>
      </w:pPr>
      <w:r>
        <w:rPr>
          <w:rFonts w:hint="eastAsia" w:ascii="仿宋_GB2312" w:eastAsia="仿宋_GB2312"/>
          <w:sz w:val="32"/>
          <w:szCs w:val="32"/>
        </w:rPr>
        <w:t>联系电话：4233983</w:t>
      </w:r>
    </w:p>
    <w:p w14:paraId="205FABA3">
      <w:pPr>
        <w:ind w:firstLine="640" w:firstLineChars="200"/>
      </w:pPr>
      <w:r>
        <w:rPr>
          <w:rFonts w:hint="eastAsia" w:ascii="仿宋_GB2312" w:eastAsia="仿宋_GB2312"/>
          <w:sz w:val="32"/>
          <w:szCs w:val="32"/>
        </w:rPr>
        <w:t>电子邮箱：</w:t>
      </w:r>
      <w:r>
        <w:rPr>
          <w:rFonts w:hint="eastAsia" w:ascii="仿宋_GB2312" w:eastAsia="仿宋_GB2312"/>
          <w:sz w:val="32"/>
          <w:szCs w:val="32"/>
        </w:rPr>
        <w:fldChar w:fldCharType="begin"/>
      </w:r>
      <w:r>
        <w:rPr>
          <w:rFonts w:hint="eastAsia" w:ascii="仿宋_GB2312" w:eastAsia="仿宋_GB2312"/>
          <w:sz w:val="32"/>
          <w:szCs w:val="32"/>
        </w:rPr>
        <w:instrText xml:space="preserve"> HYPERLINK "mailto:2373282613@qq.com" </w:instrText>
      </w:r>
      <w:r>
        <w:rPr>
          <w:rFonts w:hint="eastAsia" w:ascii="仿宋_GB2312" w:eastAsia="仿宋_GB2312"/>
          <w:sz w:val="32"/>
          <w:szCs w:val="32"/>
        </w:rPr>
        <w:fldChar w:fldCharType="separate"/>
      </w:r>
      <w:r>
        <w:rPr>
          <w:rFonts w:hint="eastAsia" w:ascii="仿宋_GB2312" w:eastAsia="仿宋_GB2312"/>
          <w:sz w:val="32"/>
          <w:szCs w:val="32"/>
          <w:lang w:val="en-US" w:eastAsia="zh-CN"/>
        </w:rPr>
        <w:t>756451077</w:t>
      </w:r>
      <w:r>
        <w:rPr>
          <w:rFonts w:hint="eastAsia" w:ascii="仿宋_GB2312" w:eastAsia="仿宋_GB2312"/>
          <w:sz w:val="32"/>
          <w:szCs w:val="32"/>
        </w:rPr>
        <w:t>@qq.com</w:t>
      </w:r>
      <w:r>
        <w:rPr>
          <w:rFonts w:hint="eastAsia" w:ascii="仿宋_GB2312" w:eastAsia="仿宋_GB2312"/>
          <w:sz w:val="32"/>
          <w:szCs w:val="32"/>
        </w:rPr>
        <w:fldChar w:fldCharType="end"/>
      </w:r>
    </w:p>
    <w:p w14:paraId="33A0565A">
      <w:pPr>
        <w:pStyle w:val="2"/>
        <w:ind w:left="0" w:leftChars="0" w:firstLine="640" w:firstLineChars="200"/>
        <w:rPr>
          <w:rFonts w:hint="default" w:ascii="仿宋_GB2312" w:eastAsia="仿宋_GB2312" w:hAnsiTheme="minorHAnsi" w:cstheme="minorBidi"/>
          <w:kern w:val="2"/>
          <w:sz w:val="32"/>
          <w:szCs w:val="32"/>
          <w:lang w:val="en-US" w:eastAsia="zh-CN" w:bidi="ar-SA"/>
        </w:rPr>
      </w:pPr>
      <w:r>
        <w:rPr>
          <w:rFonts w:hint="eastAsia" w:ascii="仿宋_GB2312" w:eastAsia="仿宋_GB2312" w:hAnsiTheme="minorHAnsi" w:cstheme="minorBidi"/>
          <w:kern w:val="2"/>
          <w:sz w:val="32"/>
          <w:szCs w:val="32"/>
          <w:lang w:val="en-US" w:eastAsia="zh-CN" w:bidi="ar-SA"/>
        </w:rPr>
        <w:t>附：</w:t>
      </w:r>
      <w:r>
        <w:rPr>
          <w:rFonts w:hint="eastAsia" w:ascii="仿宋_GB2312" w:eastAsia="仿宋_GB2312" w:cstheme="minorBidi"/>
          <w:kern w:val="2"/>
          <w:sz w:val="32"/>
          <w:szCs w:val="32"/>
          <w:lang w:val="en-US" w:eastAsia="zh-CN" w:bidi="ar-SA"/>
        </w:rPr>
        <w:t>1、选址方案说明</w:t>
      </w:r>
    </w:p>
    <w:p w14:paraId="36F89BD9">
      <w:pPr>
        <w:rPr>
          <w:rFonts w:hint="default"/>
          <w:lang w:val="en-US"/>
        </w:rPr>
      </w:pPr>
      <w:r>
        <w:rPr>
          <w:rFonts w:hint="eastAsia" w:ascii="仿宋_GB2312" w:eastAsia="仿宋_GB2312" w:cstheme="minorBidi"/>
          <w:kern w:val="2"/>
          <w:sz w:val="32"/>
          <w:szCs w:val="32"/>
          <w:lang w:val="en-US" w:eastAsia="zh-CN" w:bidi="ar-SA"/>
        </w:rPr>
        <w:t xml:space="preserve">        2</w:t>
      </w:r>
      <w:r>
        <w:rPr>
          <w:rFonts w:hint="eastAsia" w:ascii="仿宋_GB2312" w:eastAsia="仿宋_GB2312" w:hAnsiTheme="minorHAnsi" w:cstheme="minorBidi"/>
          <w:kern w:val="2"/>
          <w:sz w:val="32"/>
          <w:szCs w:val="32"/>
          <w:lang w:val="en-US" w:eastAsia="zh-CN" w:bidi="ar-SA"/>
        </w:rPr>
        <w:t>、</w:t>
      </w:r>
      <w:r>
        <w:rPr>
          <w:rFonts w:hint="eastAsia" w:ascii="仿宋_GB2312" w:eastAsia="仿宋_GB2312" w:cstheme="minorBidi"/>
          <w:kern w:val="2"/>
          <w:sz w:val="32"/>
          <w:szCs w:val="32"/>
          <w:lang w:val="en-US" w:eastAsia="zh-CN" w:bidi="ar-SA"/>
        </w:rPr>
        <w:t>地块管控图则</w:t>
      </w:r>
    </w:p>
    <w:p w14:paraId="7403E913"/>
    <w:p w14:paraId="4E0DFD95"/>
    <w:p w14:paraId="012FA4A3"/>
    <w:p w14:paraId="37D90BCA"/>
    <w:p w14:paraId="01DE563D"/>
    <w:p w14:paraId="43AF83A9"/>
    <w:p w14:paraId="009EF8D9"/>
    <w:p w14:paraId="335D054F"/>
    <w:p w14:paraId="16A515C5"/>
    <w:p w14:paraId="76FB0F41"/>
    <w:p w14:paraId="5B54A3FF"/>
    <w:p w14:paraId="2BAA98CC">
      <w:pPr>
        <w:pStyle w:val="8"/>
        <w:keepNext w:val="0"/>
        <w:keepLines w:val="0"/>
        <w:widowControl/>
        <w:suppressLineNumbers w:val="0"/>
        <w:shd w:val="clear" w:fill="FFFFFF"/>
        <w:spacing w:before="0" w:beforeAutospacing="0" w:after="0" w:afterAutospacing="0" w:line="700" w:lineRule="atLeast"/>
        <w:ind w:right="0"/>
        <w:jc w:val="left"/>
        <w:rPr>
          <w:rFonts w:hint="eastAsia" w:ascii="黑体" w:hAnsi="黑体" w:eastAsia="黑体" w:cs="黑体"/>
          <w:b/>
          <w:bCs/>
          <w:i w:val="0"/>
          <w:iCs w:val="0"/>
          <w:caps w:val="0"/>
          <w:color w:val="424242"/>
          <w:spacing w:val="0"/>
          <w:sz w:val="32"/>
          <w:szCs w:val="32"/>
          <w:shd w:val="clear" w:fill="FFFFFF"/>
          <w:lang w:val="en-US" w:eastAsia="zh-CN"/>
        </w:rPr>
      </w:pPr>
      <w:r>
        <w:rPr>
          <w:rFonts w:hint="eastAsia" w:ascii="黑体" w:hAnsi="黑体" w:eastAsia="黑体" w:cs="黑体"/>
          <w:b/>
          <w:bCs/>
          <w:i w:val="0"/>
          <w:iCs w:val="0"/>
          <w:caps w:val="0"/>
          <w:color w:val="424242"/>
          <w:spacing w:val="0"/>
          <w:sz w:val="32"/>
          <w:szCs w:val="32"/>
          <w:shd w:val="clear" w:fill="FFFFFF"/>
          <w:lang w:val="en-US" w:eastAsia="zh-CN"/>
        </w:rPr>
        <w:t>附件1</w:t>
      </w:r>
    </w:p>
    <w:p w14:paraId="0F088B42">
      <w:pPr>
        <w:pStyle w:val="8"/>
        <w:keepNext w:val="0"/>
        <w:keepLines w:val="0"/>
        <w:widowControl/>
        <w:suppressLineNumbers w:val="0"/>
        <w:shd w:val="clear" w:fill="FFFFFF"/>
        <w:spacing w:before="0" w:beforeAutospacing="0" w:after="0" w:afterAutospacing="0" w:line="700" w:lineRule="atLeast"/>
        <w:ind w:right="0"/>
        <w:jc w:val="center"/>
        <w:rPr>
          <w:rFonts w:hint="eastAsia" w:ascii="方正小标宋简体" w:eastAsia="方正小标宋简体" w:hAnsiTheme="minorHAnsi" w:cstheme="minorBidi"/>
          <w:kern w:val="2"/>
          <w:sz w:val="44"/>
          <w:szCs w:val="44"/>
          <w:lang w:val="en-US" w:eastAsia="zh-CN" w:bidi="ar-SA"/>
        </w:rPr>
      </w:pPr>
      <w:r>
        <w:rPr>
          <w:rFonts w:hint="eastAsia" w:ascii="方正小标宋简体" w:eastAsia="方正小标宋简体" w:hAnsiTheme="minorHAnsi" w:cstheme="minorBidi"/>
          <w:kern w:val="2"/>
          <w:sz w:val="44"/>
          <w:szCs w:val="44"/>
          <w:lang w:val="en-US" w:eastAsia="zh-CN" w:bidi="ar-SA"/>
        </w:rPr>
        <w:t>选址方案说明</w:t>
      </w:r>
    </w:p>
    <w:p w14:paraId="0CB21A50">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29"/>
        <w:jc w:val="both"/>
        <w:textAlignment w:val="auto"/>
        <w:rPr>
          <w:rFonts w:hint="default"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rPr>
        <w:t>一、</w:t>
      </w:r>
      <w:r>
        <w:rPr>
          <w:rFonts w:hint="eastAsia" w:ascii="黑体" w:hAnsi="黑体" w:eastAsia="黑体" w:cs="黑体"/>
          <w:i w:val="0"/>
          <w:iCs w:val="0"/>
          <w:caps w:val="0"/>
          <w:color w:val="auto"/>
          <w:spacing w:val="0"/>
          <w:sz w:val="32"/>
          <w:szCs w:val="32"/>
          <w:shd w:val="clear" w:fill="FFFFFF"/>
          <w:lang w:val="en-US" w:eastAsia="zh-CN"/>
        </w:rPr>
        <w:t>项目选址背景</w:t>
      </w:r>
    </w:p>
    <w:p w14:paraId="071C40FB">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为全面提升建筑垃圾规范化管理和资源化利用水平，推动我县建筑垃圾减量化、资源化、无害化，促进城市人居环境高质量发展，根据《国务院办公厅关于加快构建废弃物循环利用体系的意见》(国办发〔2024〕7号)、四川省住房和城乡建设厅等八部门联合印发的《四川省城市建筑垃圾处置及资源化利用行动方案》(川建行规〔2024〕12号)精神，开展本次项目规划选址论证工作。</w:t>
      </w:r>
    </w:p>
    <w:p w14:paraId="1445394F">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29"/>
        <w:jc w:val="both"/>
        <w:textAlignment w:val="auto"/>
        <w:rPr>
          <w:rFonts w:hint="default" w:ascii="黑体" w:hAnsi="黑体" w:eastAsia="黑体" w:cs="黑体"/>
          <w:i w:val="0"/>
          <w:iCs w:val="0"/>
          <w:caps w:val="0"/>
          <w:color w:val="auto"/>
          <w:spacing w:val="0"/>
          <w:sz w:val="32"/>
          <w:szCs w:val="32"/>
          <w:shd w:val="clear" w:fill="FFFFFF"/>
          <w:lang w:val="en-US" w:eastAsia="zh-CN"/>
        </w:rPr>
      </w:pPr>
      <w:bookmarkStart w:id="0" w:name="_Toc358296559"/>
      <w:r>
        <w:rPr>
          <w:rFonts w:hint="eastAsia" w:ascii="黑体" w:hAnsi="黑体" w:eastAsia="黑体" w:cs="黑体"/>
          <w:i w:val="0"/>
          <w:iCs w:val="0"/>
          <w:caps w:val="0"/>
          <w:color w:val="auto"/>
          <w:spacing w:val="0"/>
          <w:sz w:val="32"/>
          <w:szCs w:val="32"/>
          <w:shd w:val="clear" w:fill="FFFFFF"/>
          <w:lang w:val="en-US" w:eastAsia="zh-CN"/>
        </w:rPr>
        <w:t>二</w:t>
      </w:r>
      <w:r>
        <w:rPr>
          <w:rFonts w:hint="eastAsia" w:ascii="黑体" w:hAnsi="黑体" w:eastAsia="黑体" w:cs="黑体"/>
          <w:i w:val="0"/>
          <w:iCs w:val="0"/>
          <w:caps w:val="0"/>
          <w:color w:val="auto"/>
          <w:spacing w:val="0"/>
          <w:sz w:val="32"/>
          <w:szCs w:val="32"/>
          <w:shd w:val="clear" w:fill="FFFFFF"/>
        </w:rPr>
        <w:t>、</w:t>
      </w:r>
      <w:bookmarkEnd w:id="0"/>
      <w:r>
        <w:rPr>
          <w:rFonts w:hint="eastAsia" w:ascii="黑体" w:hAnsi="黑体" w:eastAsia="黑体" w:cs="黑体"/>
          <w:i w:val="0"/>
          <w:iCs w:val="0"/>
          <w:caps w:val="0"/>
          <w:color w:val="auto"/>
          <w:spacing w:val="0"/>
          <w:sz w:val="32"/>
          <w:szCs w:val="32"/>
          <w:shd w:val="clear" w:fill="FFFFFF"/>
          <w:lang w:val="en-US" w:eastAsia="zh-CN"/>
        </w:rPr>
        <w:t>选址位置及范围</w:t>
      </w:r>
    </w:p>
    <w:p w14:paraId="684966E7">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项目选址位于犍为县城东南方向、岷江左岸、</w:t>
      </w:r>
      <w:r>
        <w:rPr>
          <w:rFonts w:hint="default" w:ascii="仿宋_GB2312" w:hAnsi="仿宋_GB2312" w:eastAsia="仿宋_GB2312" w:cs="仿宋_GB2312"/>
          <w:i w:val="0"/>
          <w:iCs w:val="0"/>
          <w:caps w:val="0"/>
          <w:color w:val="auto"/>
          <w:spacing w:val="0"/>
          <w:sz w:val="32"/>
          <w:szCs w:val="32"/>
          <w:shd w:val="clear" w:fill="FFFFFF"/>
          <w:lang w:val="en-US" w:eastAsia="zh-CN"/>
        </w:rPr>
        <w:t>孝姑镇镇区西北方向</w:t>
      </w:r>
      <w:r>
        <w:rPr>
          <w:rFonts w:hint="eastAsia" w:ascii="仿宋_GB2312" w:hAnsi="仿宋_GB2312" w:eastAsia="仿宋_GB2312" w:cs="仿宋_GB2312"/>
          <w:i w:val="0"/>
          <w:iCs w:val="0"/>
          <w:caps w:val="0"/>
          <w:color w:val="auto"/>
          <w:spacing w:val="0"/>
          <w:sz w:val="32"/>
          <w:szCs w:val="32"/>
          <w:shd w:val="clear" w:fill="FFFFFF"/>
          <w:lang w:val="en-US" w:eastAsia="zh-CN"/>
        </w:rPr>
        <w:t>，地处孝姑镇永平村境内。地块西侧紧邻Y028公路，距孝姑高速收费口3公里，车程约4分钟。</w:t>
      </w:r>
    </w:p>
    <w:p w14:paraId="1EE5462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选址范围面积约125.81亩，均位于城镇开发边界内。</w:t>
      </w:r>
    </w:p>
    <w:p w14:paraId="56288AC0">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right="0" w:firstLine="629"/>
        <w:jc w:val="both"/>
        <w:textAlignment w:val="auto"/>
        <w:rPr>
          <w:rFonts w:hint="default"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三、选址分析内容</w:t>
      </w:r>
    </w:p>
    <w:p w14:paraId="747676D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（一）政策符合性。</w:t>
      </w:r>
      <w:r>
        <w:rPr>
          <w:rFonts w:hint="eastAsia" w:ascii="仿宋_GB2312" w:hAnsi="仿宋_GB2312" w:eastAsia="仿宋_GB2312" w:cs="仿宋_GB2312"/>
          <w:i w:val="0"/>
          <w:iCs w:val="0"/>
          <w:caps w:val="0"/>
          <w:color w:val="auto"/>
          <w:spacing w:val="0"/>
          <w:sz w:val="32"/>
          <w:szCs w:val="32"/>
          <w:shd w:val="clear" w:fill="FFFFFF"/>
          <w:lang w:val="en-US" w:eastAsia="zh-CN"/>
        </w:rPr>
        <w:t>项目建设符合国家、省、市关于废弃物循环利用等相关文件要求，根据《产业结构调整指导目录（2024年本）》属于鼓励类项目，符合国家现行土地供应政策。</w:t>
      </w:r>
    </w:p>
    <w:p w14:paraId="5CC5BB3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（二）用地符合性。</w:t>
      </w:r>
      <w:r>
        <w:rPr>
          <w:rFonts w:hint="eastAsia" w:ascii="仿宋_GB2312" w:hAnsi="仿宋_GB2312" w:eastAsia="仿宋_GB2312" w:cs="仿宋_GB2312"/>
          <w:i w:val="0"/>
          <w:iCs w:val="0"/>
          <w:caps w:val="0"/>
          <w:color w:val="auto"/>
          <w:spacing w:val="0"/>
          <w:sz w:val="32"/>
          <w:szCs w:val="32"/>
          <w:shd w:val="clear" w:fill="FFFFFF"/>
          <w:lang w:val="en-US" w:eastAsia="zh-CN"/>
        </w:rPr>
        <w:t>根据项目建设内容，属于工业生产配建公用设施类建筑，符合地块规划用途（二类工业用地），对提高土地综合利用价值具有正向影响。项目用地均位于城镇开发边界内，符合产业园区建设前置条件。</w:t>
      </w:r>
    </w:p>
    <w:p w14:paraId="3443026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（三）规划符合性。</w:t>
      </w:r>
      <w:r>
        <w:rPr>
          <w:rFonts w:hint="eastAsia" w:ascii="仿宋_GB2312" w:hAnsi="仿宋_GB2312" w:eastAsia="仿宋_GB2312" w:cs="仿宋_GB2312"/>
          <w:i w:val="0"/>
          <w:iCs w:val="0"/>
          <w:caps w:val="0"/>
          <w:color w:val="auto"/>
          <w:spacing w:val="0"/>
          <w:sz w:val="32"/>
          <w:szCs w:val="32"/>
          <w:shd w:val="clear" w:fill="FFFFFF"/>
          <w:lang w:val="en-US" w:eastAsia="zh-CN"/>
        </w:rPr>
        <w:t>与《</w:t>
      </w:r>
      <w:r>
        <w:rPr>
          <w:rFonts w:hint="default" w:ascii="仿宋_GB2312" w:hAnsi="仿宋_GB2312" w:eastAsia="仿宋_GB2312" w:cs="仿宋_GB2312"/>
          <w:i w:val="0"/>
          <w:iCs w:val="0"/>
          <w:caps w:val="0"/>
          <w:color w:val="auto"/>
          <w:spacing w:val="0"/>
          <w:sz w:val="32"/>
          <w:szCs w:val="32"/>
          <w:shd w:val="clear" w:fill="FFFFFF"/>
          <w:lang w:val="en-US" w:eastAsia="zh-CN"/>
        </w:rPr>
        <w:t>犍为县国土空间总体规划（2021—2035年）</w:t>
      </w:r>
      <w:r>
        <w:rPr>
          <w:rFonts w:hint="eastAsia" w:ascii="仿宋_GB2312" w:hAnsi="仿宋_GB2312" w:eastAsia="仿宋_GB2312" w:cs="仿宋_GB2312"/>
          <w:i w:val="0"/>
          <w:iCs w:val="0"/>
          <w:caps w:val="0"/>
          <w:color w:val="auto"/>
          <w:spacing w:val="0"/>
          <w:sz w:val="32"/>
          <w:szCs w:val="32"/>
          <w:shd w:val="clear" w:fill="FFFFFF"/>
          <w:lang w:val="en-US" w:eastAsia="zh-CN"/>
        </w:rPr>
        <w:t>》分析，项目选址符合总体规划关于“</w:t>
      </w:r>
      <w:r>
        <w:rPr>
          <w:rFonts w:hint="default" w:ascii="仿宋_GB2312" w:hAnsi="仿宋_GB2312" w:eastAsia="仿宋_GB2312" w:cs="仿宋_GB2312"/>
          <w:i w:val="0"/>
          <w:iCs w:val="0"/>
          <w:caps w:val="0"/>
          <w:color w:val="auto"/>
          <w:spacing w:val="0"/>
          <w:sz w:val="32"/>
          <w:szCs w:val="32"/>
          <w:shd w:val="clear" w:fill="FFFFFF"/>
          <w:lang w:val="en-US" w:eastAsia="zh-CN"/>
        </w:rPr>
        <w:t>工业企业退城入园”的总体空间战略和用地布局要求</w:t>
      </w:r>
      <w:r>
        <w:rPr>
          <w:rFonts w:hint="eastAsia" w:ascii="仿宋_GB2312" w:hAnsi="仿宋_GB2312" w:eastAsia="仿宋_GB2312" w:cs="仿宋_GB2312"/>
          <w:i w:val="0"/>
          <w:iCs w:val="0"/>
          <w:caps w:val="0"/>
          <w:color w:val="auto"/>
          <w:spacing w:val="0"/>
          <w:sz w:val="32"/>
          <w:szCs w:val="32"/>
          <w:shd w:val="clear" w:fill="FFFFFF"/>
          <w:lang w:val="en-US" w:eastAsia="zh-CN"/>
        </w:rPr>
        <w:t>，项目用地规模已落实，符合用地布局；与《</w:t>
      </w:r>
      <w:r>
        <w:rPr>
          <w:rFonts w:hint="default" w:ascii="仿宋_GB2312" w:hAnsi="仿宋_GB2312" w:eastAsia="仿宋_GB2312" w:cs="仿宋_GB2312"/>
          <w:i w:val="0"/>
          <w:iCs w:val="0"/>
          <w:caps w:val="0"/>
          <w:color w:val="auto"/>
          <w:spacing w:val="0"/>
          <w:sz w:val="32"/>
          <w:szCs w:val="32"/>
          <w:shd w:val="clear" w:fill="FFFFFF"/>
          <w:lang w:val="en-US" w:eastAsia="zh-CN"/>
        </w:rPr>
        <w:t>犍为县临港经济片区国土空间总体规划（2021—2035年）</w:t>
      </w:r>
      <w:r>
        <w:rPr>
          <w:rFonts w:hint="eastAsia" w:ascii="仿宋_GB2312" w:hAnsi="仿宋_GB2312" w:eastAsia="仿宋_GB2312" w:cs="仿宋_GB2312"/>
          <w:i w:val="0"/>
          <w:iCs w:val="0"/>
          <w:caps w:val="0"/>
          <w:color w:val="auto"/>
          <w:spacing w:val="0"/>
          <w:sz w:val="32"/>
          <w:szCs w:val="32"/>
          <w:shd w:val="clear" w:fill="FFFFFF"/>
          <w:lang w:val="en-US" w:eastAsia="zh-CN"/>
        </w:rPr>
        <w:t>》分析，大力推进静脉产业园建设进度，为片区工业发展提供新的增长点，有助于加速构建绿色工业体系，符合功能定位；与《</w:t>
      </w:r>
      <w:r>
        <w:rPr>
          <w:rFonts w:hint="default" w:ascii="仿宋_GB2312" w:hAnsi="仿宋_GB2312" w:eastAsia="仿宋_GB2312" w:cs="仿宋_GB2312"/>
          <w:i w:val="0"/>
          <w:iCs w:val="0"/>
          <w:caps w:val="0"/>
          <w:color w:val="auto"/>
          <w:spacing w:val="0"/>
          <w:sz w:val="32"/>
          <w:szCs w:val="32"/>
          <w:shd w:val="clear" w:fill="FFFFFF"/>
          <w:lang w:val="en-US" w:eastAsia="zh-CN"/>
        </w:rPr>
        <w:t>四川犍为经济开发区发展规划（2024—2030年）</w:t>
      </w:r>
      <w:r>
        <w:rPr>
          <w:rFonts w:hint="eastAsia" w:ascii="仿宋_GB2312" w:hAnsi="仿宋_GB2312" w:eastAsia="仿宋_GB2312" w:cs="仿宋_GB2312"/>
          <w:i w:val="0"/>
          <w:iCs w:val="0"/>
          <w:caps w:val="0"/>
          <w:color w:val="auto"/>
          <w:spacing w:val="0"/>
          <w:sz w:val="32"/>
          <w:szCs w:val="32"/>
          <w:shd w:val="clear" w:fill="FFFFFF"/>
          <w:lang w:val="en-US" w:eastAsia="zh-CN"/>
        </w:rPr>
        <w:t>》分析，不影响经开区整体产业发展布局，且对产业集群构建具有正向作用；与《</w:t>
      </w:r>
      <w:r>
        <w:rPr>
          <w:rFonts w:hint="default" w:ascii="仿宋_GB2312" w:hAnsi="仿宋_GB2312" w:eastAsia="仿宋_GB2312" w:cs="仿宋_GB2312"/>
          <w:i w:val="0"/>
          <w:iCs w:val="0"/>
          <w:caps w:val="0"/>
          <w:color w:val="auto"/>
          <w:spacing w:val="0"/>
          <w:sz w:val="32"/>
          <w:szCs w:val="32"/>
          <w:shd w:val="clear" w:fill="FFFFFF"/>
          <w:lang w:val="en-US" w:eastAsia="zh-CN"/>
        </w:rPr>
        <w:t>犍为县城市建筑垃圾污染环境防治专项规划（2025</w:t>
      </w:r>
      <w:r>
        <w:rPr>
          <w:rFonts w:hint="eastAsia" w:ascii="仿宋_GB2312" w:hAnsi="仿宋_GB2312" w:eastAsia="仿宋_GB2312" w:cs="仿宋_GB2312"/>
          <w:i w:val="0"/>
          <w:iCs w:val="0"/>
          <w:caps w:val="0"/>
          <w:color w:val="auto"/>
          <w:spacing w:val="0"/>
          <w:sz w:val="32"/>
          <w:szCs w:val="32"/>
          <w:shd w:val="clear" w:fill="FFFFFF"/>
          <w:lang w:val="en-US" w:eastAsia="zh-CN"/>
        </w:rPr>
        <w:t>—</w:t>
      </w:r>
      <w:r>
        <w:rPr>
          <w:rFonts w:hint="default" w:ascii="仿宋_GB2312" w:hAnsi="仿宋_GB2312" w:eastAsia="仿宋_GB2312" w:cs="仿宋_GB2312"/>
          <w:i w:val="0"/>
          <w:iCs w:val="0"/>
          <w:caps w:val="0"/>
          <w:color w:val="auto"/>
          <w:spacing w:val="0"/>
          <w:sz w:val="32"/>
          <w:szCs w:val="32"/>
          <w:shd w:val="clear" w:fill="FFFFFF"/>
          <w:lang w:val="en-US" w:eastAsia="zh-CN"/>
        </w:rPr>
        <w:t>2035年）</w:t>
      </w:r>
      <w:r>
        <w:rPr>
          <w:rFonts w:hint="eastAsia" w:ascii="仿宋_GB2312" w:hAnsi="仿宋_GB2312" w:eastAsia="仿宋_GB2312" w:cs="仿宋_GB2312"/>
          <w:i w:val="0"/>
          <w:iCs w:val="0"/>
          <w:caps w:val="0"/>
          <w:color w:val="auto"/>
          <w:spacing w:val="0"/>
          <w:sz w:val="32"/>
          <w:szCs w:val="32"/>
          <w:shd w:val="clear" w:fill="FFFFFF"/>
          <w:lang w:val="en-US" w:eastAsia="zh-CN"/>
        </w:rPr>
        <w:t>》分析，符合相关策略研究和选址原则，本项目已纳入规划实施计划项目表，具备规划建设依据。</w:t>
      </w:r>
    </w:p>
    <w:p w14:paraId="7CABD9A9">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（四）用地规模合理性分析。</w:t>
      </w:r>
      <w:r>
        <w:rPr>
          <w:rFonts w:hint="eastAsia" w:ascii="仿宋_GB2312" w:hAnsi="仿宋_GB2312" w:eastAsia="仿宋_GB2312" w:cs="仿宋_GB2312"/>
          <w:i w:val="0"/>
          <w:iCs w:val="0"/>
          <w:caps w:val="0"/>
          <w:color w:val="auto"/>
          <w:spacing w:val="0"/>
          <w:sz w:val="32"/>
          <w:szCs w:val="32"/>
          <w:shd w:val="clear" w:fill="FFFFFF"/>
          <w:lang w:val="en-US" w:eastAsia="zh-CN"/>
        </w:rPr>
        <w:t>根据相关标准对应用地指标，综合计算得出项目选址用地规模符合相关用地标准，满足节约用地要求。</w:t>
      </w:r>
    </w:p>
    <w:p w14:paraId="7A8AC4B4">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（五）道路交通合理性分析。</w:t>
      </w:r>
      <w:r>
        <w:rPr>
          <w:rFonts w:hint="eastAsia" w:ascii="仿宋_GB2312" w:hAnsi="仿宋_GB2312" w:eastAsia="仿宋_GB2312" w:cs="仿宋_GB2312"/>
          <w:i w:val="0"/>
          <w:iCs w:val="0"/>
          <w:caps w:val="0"/>
          <w:color w:val="auto"/>
          <w:spacing w:val="0"/>
          <w:sz w:val="32"/>
          <w:szCs w:val="32"/>
          <w:shd w:val="clear" w:fill="FFFFFF"/>
          <w:lang w:val="en-US" w:eastAsia="zh-CN"/>
        </w:rPr>
        <w:t>经测算，项目选址对外依托的主要货运道路日常通行能力远高于项目日常货运需求，不会影响区域交通正常通行，拟建进场道路满足消防通行需求。</w:t>
      </w:r>
    </w:p>
    <w:p w14:paraId="34E01499">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（六）市政基础设施合理性分析。</w:t>
      </w:r>
      <w:r>
        <w:rPr>
          <w:rFonts w:hint="eastAsia" w:ascii="仿宋_GB2312" w:hAnsi="仿宋_GB2312" w:eastAsia="仿宋_GB2312" w:cs="仿宋_GB2312"/>
          <w:i w:val="0"/>
          <w:iCs w:val="0"/>
          <w:caps w:val="0"/>
          <w:color w:val="auto"/>
          <w:spacing w:val="0"/>
          <w:sz w:val="32"/>
          <w:szCs w:val="32"/>
          <w:shd w:val="clear" w:fill="FFFFFF"/>
          <w:lang w:val="en-US" w:eastAsia="zh-CN"/>
        </w:rPr>
        <w:t>在供水、燃气方面可接入经开区市政管网统一供给；排水方面项目新建80m³/d污水处理设施；电力方面项目采用光伏发电，通过10kV接入厂区供电系统，可满足自发自用；供热方面项目在工艺生产过程中会产生沼气，通过自建沼气锅炉房实现供热。市政基础设施配套方面均具备良好的规划条件，能够充分满足项目建设和运营的需求。</w:t>
      </w:r>
    </w:p>
    <w:p w14:paraId="2A5910B8">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（七）工程建设条件合理性分析。</w:t>
      </w:r>
      <w:r>
        <w:rPr>
          <w:rFonts w:hint="eastAsia" w:ascii="仿宋_GB2312" w:hAnsi="仿宋_GB2312" w:eastAsia="仿宋_GB2312" w:cs="仿宋_GB2312"/>
          <w:i w:val="0"/>
          <w:iCs w:val="0"/>
          <w:caps w:val="0"/>
          <w:color w:val="auto"/>
          <w:spacing w:val="0"/>
          <w:sz w:val="32"/>
          <w:szCs w:val="32"/>
          <w:shd w:val="clear" w:fill="FFFFFF"/>
          <w:lang w:val="en-US" w:eastAsia="zh-CN"/>
        </w:rPr>
        <w:t>项目选址所在地远离地震断裂带，不在滑坡影响区和洪涝风险重点防控区域，属于地址灾害低危险区。且现状已基本完成场平工作，建设条件良好。</w:t>
      </w:r>
    </w:p>
    <w:p w14:paraId="6BA0A8FD">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29"/>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楷体_GB2312" w:hAnsi="楷体_GB2312" w:eastAsia="楷体_GB2312" w:cs="楷体_GB2312"/>
          <w:i w:val="0"/>
          <w:iCs w:val="0"/>
          <w:caps w:val="0"/>
          <w:color w:val="auto"/>
          <w:spacing w:val="0"/>
          <w:sz w:val="32"/>
          <w:szCs w:val="32"/>
          <w:shd w:val="clear" w:fill="FFFFFF"/>
          <w:lang w:val="en-US" w:eastAsia="zh-CN"/>
        </w:rPr>
        <w:t>（八）周边环境协调性分析。</w:t>
      </w:r>
      <w:r>
        <w:rPr>
          <w:rFonts w:hint="eastAsia" w:ascii="仿宋_GB2312" w:hAnsi="仿宋_GB2312" w:eastAsia="仿宋_GB2312" w:cs="仿宋_GB2312"/>
          <w:i w:val="0"/>
          <w:iCs w:val="0"/>
          <w:caps w:val="0"/>
          <w:color w:val="auto"/>
          <w:spacing w:val="0"/>
          <w:sz w:val="32"/>
          <w:szCs w:val="32"/>
          <w:shd w:val="clear" w:fill="FFFFFF"/>
          <w:lang w:val="en-US" w:eastAsia="zh-CN"/>
        </w:rPr>
        <w:t>根据《乐山市三江岸线保护条例》，项目选址位于严格保护区以外，符合《条例》第六条和第八条相关规定；处于卫生防护距离100m以内的4户住户按照要求实施搬迁，以及项目东侧160m处有1户居民，虽不在卫生防护距离范围内，但本项目修建后会断掉该户出行的道路和用电，故建议将其纳入搬迁范围；选址与飞地化工园区直线距离约1600米，满足安全防护（100m）退距要求；选址范围线外北侧有1条35kV架空线走廊，经现场测绘，塔基距项目用地红线约10米，基本满足退距要求。</w:t>
      </w:r>
    </w:p>
    <w:p w14:paraId="77C90D32">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278A70D4">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6D67EA52">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5B3A7DA4">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6FF6E371">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72994025">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pPr>
    </w:p>
    <w:p w14:paraId="7581F8B7">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Theme="minorEastAsia" w:hAnsiTheme="minorEastAsia" w:eastAsiaTheme="minorEastAsia" w:cstheme="minorEastAsia"/>
          <w:b/>
          <w:bCs/>
          <w:i w:val="0"/>
          <w:iCs w:val="0"/>
          <w:caps w:val="0"/>
          <w:color w:val="424242"/>
          <w:spacing w:val="0"/>
          <w:sz w:val="32"/>
          <w:szCs w:val="32"/>
          <w:shd w:val="clear" w:fill="FFFFFF"/>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14:paraId="33FBC58F">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700" w:lineRule="atLeast"/>
        <w:ind w:right="0" w:firstLine="640" w:firstLineChars="200"/>
        <w:jc w:val="left"/>
        <w:textAlignment w:val="auto"/>
        <w:rPr>
          <w:rFonts w:hint="eastAsia" w:ascii="黑体" w:hAnsi="黑体" w:eastAsia="黑体" w:cs="黑体"/>
          <w:b w:val="0"/>
          <w:bCs w:val="0"/>
          <w:i w:val="0"/>
          <w:iCs w:val="0"/>
          <w:caps w:val="0"/>
          <w:color w:val="424242"/>
          <w:spacing w:val="0"/>
          <w:sz w:val="32"/>
          <w:szCs w:val="32"/>
          <w:shd w:val="clear" w:fill="FFFFFF"/>
          <w:lang w:val="en-US" w:eastAsia="zh-CN"/>
        </w:rPr>
      </w:pPr>
      <w:r>
        <w:rPr>
          <w:rFonts w:hint="eastAsia" w:ascii="黑体" w:hAnsi="黑体" w:eastAsia="黑体" w:cs="黑体"/>
          <w:b w:val="0"/>
          <w:bCs w:val="0"/>
          <w:i w:val="0"/>
          <w:iCs w:val="0"/>
          <w:caps w:val="0"/>
          <w:color w:val="424242"/>
          <w:spacing w:val="0"/>
          <w:sz w:val="32"/>
          <w:szCs w:val="32"/>
          <w:shd w:val="clear" w:fill="FFFFFF"/>
          <w:lang w:val="en-US" w:eastAsia="zh-CN"/>
        </w:rPr>
        <w:t>附件2</w:t>
      </w:r>
    </w:p>
    <w:p w14:paraId="0F69B3F5">
      <w:pPr>
        <w:pStyle w:val="8"/>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700" w:lineRule="atLeast"/>
        <w:ind w:right="0" w:firstLine="640" w:firstLineChars="200"/>
        <w:jc w:val="center"/>
        <w:textAlignment w:val="auto"/>
        <w:rPr>
          <w:rFonts w:hint="eastAsia" w:ascii="仿宋_GB2312" w:hAnsi="Calibri" w:eastAsia="仿宋_GB2312" w:cs="仿宋_GB2312"/>
          <w:i w:val="0"/>
          <w:iCs w:val="0"/>
          <w:caps w:val="0"/>
          <w:color w:val="424242"/>
          <w:spacing w:val="0"/>
          <w:sz w:val="32"/>
          <w:szCs w:val="32"/>
          <w:shd w:val="clear" w:fill="FFFFFF"/>
          <w:lang w:eastAsia="zh-CN"/>
        </w:rPr>
      </w:pPr>
      <w:r>
        <w:rPr>
          <w:rFonts w:hint="eastAsia" w:ascii="仿宋_GB2312" w:hAnsi="Calibri" w:eastAsia="仿宋_GB2312" w:cs="仿宋_GB2312"/>
          <w:i w:val="0"/>
          <w:iCs w:val="0"/>
          <w:caps w:val="0"/>
          <w:color w:val="424242"/>
          <w:spacing w:val="0"/>
          <w:sz w:val="32"/>
          <w:szCs w:val="32"/>
          <w:shd w:val="clear" w:fill="FFFFFF"/>
          <w:lang w:eastAsia="zh-CN"/>
        </w:rPr>
        <w:drawing>
          <wp:anchor distT="0" distB="0" distL="114300" distR="114300" simplePos="0" relativeHeight="251659264" behindDoc="0" locked="0" layoutInCell="1" allowOverlap="1">
            <wp:simplePos x="0" y="0"/>
            <wp:positionH relativeFrom="column">
              <wp:posOffset>824230</wp:posOffset>
            </wp:positionH>
            <wp:positionV relativeFrom="paragraph">
              <wp:posOffset>483235</wp:posOffset>
            </wp:positionV>
            <wp:extent cx="8129905" cy="5704205"/>
            <wp:effectExtent l="0" t="0" r="4445" b="10795"/>
            <wp:wrapNone/>
            <wp:docPr id="2" name="图片 2" descr="提取自2025.6.17犍为县中心城区详细规划单元G（孝姑）局部地块（静脉产业园）选址方案--成果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提取自2025.6.17犍为县中心城区详细规划单元G（孝姑）局部地块（静脉产业园）选址方案--成果稿"/>
                    <pic:cNvPicPr>
                      <a:picLocks noChangeAspect="1"/>
                    </pic:cNvPicPr>
                  </pic:nvPicPr>
                  <pic:blipFill>
                    <a:blip r:embed="rId5"/>
                    <a:srcRect l="10365" t="11126" r="11068" b="10894"/>
                    <a:stretch>
                      <a:fillRect/>
                    </a:stretch>
                  </pic:blipFill>
                  <pic:spPr>
                    <a:xfrm>
                      <a:off x="0" y="0"/>
                      <a:ext cx="8129905" cy="5704205"/>
                    </a:xfrm>
                    <a:prstGeom prst="rect">
                      <a:avLst/>
                    </a:prstGeom>
                  </pic:spPr>
                </pic:pic>
              </a:graphicData>
            </a:graphic>
          </wp:anchor>
        </w:drawing>
      </w:r>
      <w:r>
        <w:rPr>
          <w:rFonts w:hint="eastAsia" w:ascii="方正小标宋简体" w:eastAsia="方正小标宋简体" w:hAnsiTheme="minorHAnsi" w:cstheme="minorBidi"/>
          <w:kern w:val="2"/>
          <w:sz w:val="44"/>
          <w:szCs w:val="44"/>
          <w:lang w:val="en-US" w:eastAsia="zh-CN" w:bidi="ar-SA"/>
        </w:rPr>
        <w:t>地块管控图则</w:t>
      </w:r>
    </w:p>
    <w:p w14:paraId="6FFEC521">
      <w:pPr>
        <w:pStyle w:val="8"/>
        <w:keepNext w:val="0"/>
        <w:keepLines w:val="0"/>
        <w:widowControl/>
        <w:suppressLineNumbers w:val="0"/>
        <w:shd w:val="clear" w:fill="FFFFFF"/>
        <w:spacing w:before="0" w:beforeAutospacing="0" w:after="0" w:afterAutospacing="0" w:line="700" w:lineRule="atLeast"/>
        <w:ind w:left="0" w:right="0" w:firstLine="630"/>
        <w:jc w:val="left"/>
        <w:rPr>
          <w:rFonts w:hint="eastAsia" w:ascii="仿宋_GB2312" w:hAnsi="Calibri" w:eastAsia="仿宋_GB2312" w:cs="仿宋_GB2312"/>
          <w:i w:val="0"/>
          <w:iCs w:val="0"/>
          <w:caps w:val="0"/>
          <w:color w:val="424242"/>
          <w:spacing w:val="0"/>
          <w:sz w:val="32"/>
          <w:szCs w:val="32"/>
          <w:shd w:val="clear" w:fill="FFFFFF"/>
          <w:lang w:eastAsia="zh-CN"/>
        </w:rPr>
      </w:pPr>
      <w:bookmarkStart w:id="1" w:name="_GoBack"/>
      <w:bookmarkEnd w:id="1"/>
    </w:p>
    <w:p w14:paraId="1A8EA73F">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307A4CF2">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300E2C16">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2B266171">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674D6D4A">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2F9FE06F">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67A32EB1">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5427D1CF">
      <w:pPr>
        <w:pStyle w:val="8"/>
        <w:keepNext w:val="0"/>
        <w:keepLines w:val="0"/>
        <w:widowControl/>
        <w:suppressLineNumbers w:val="0"/>
        <w:shd w:val="clear" w:fill="FFFFFF"/>
        <w:spacing w:before="0" w:beforeAutospacing="0" w:after="0" w:afterAutospacing="0" w:line="700" w:lineRule="atLeast"/>
        <w:ind w:left="0" w:right="0" w:firstLine="630"/>
        <w:jc w:val="left"/>
        <w:rPr>
          <w:rFonts w:hint="default" w:ascii="仿宋_GB2312" w:hAnsi="Calibri" w:eastAsia="仿宋_GB2312" w:cs="仿宋_GB2312"/>
          <w:i w:val="0"/>
          <w:iCs w:val="0"/>
          <w:caps w:val="0"/>
          <w:color w:val="424242"/>
          <w:spacing w:val="0"/>
          <w:sz w:val="32"/>
          <w:szCs w:val="32"/>
          <w:shd w:val="clear" w:fill="FFFFFF"/>
        </w:rPr>
      </w:pPr>
    </w:p>
    <w:p w14:paraId="1D7CB764">
      <w:pPr>
        <w:pStyle w:val="8"/>
        <w:keepNext w:val="0"/>
        <w:keepLines w:val="0"/>
        <w:widowControl/>
        <w:suppressLineNumbers w:val="0"/>
        <w:shd w:val="clear" w:fill="FFFFFF"/>
        <w:spacing w:before="0" w:beforeAutospacing="0" w:after="0" w:afterAutospacing="0" w:line="700" w:lineRule="atLeast"/>
        <w:ind w:right="0"/>
        <w:jc w:val="left"/>
        <w:rPr>
          <w:rFonts w:hint="eastAsia" w:ascii="仿宋_GB2312" w:hAnsi="Calibri" w:eastAsia="仿宋_GB2312" w:cs="仿宋_GB2312"/>
          <w:i w:val="0"/>
          <w:iCs w:val="0"/>
          <w:caps w:val="0"/>
          <w:color w:val="424242"/>
          <w:spacing w:val="0"/>
          <w:sz w:val="32"/>
          <w:szCs w:val="32"/>
          <w:shd w:val="clear" w:fill="FFFFFF"/>
          <w:lang w:eastAsia="zh-CN"/>
        </w:rPr>
      </w:pPr>
    </w:p>
    <w:sectPr>
      <w:pgSz w:w="16838" w:h="11906" w:orient="landscape"/>
      <w:pgMar w:top="720" w:right="720" w:bottom="720" w:left="72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2C2AA">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81986D">
                          <w:pPr>
                            <w:pStyle w:val="6"/>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581986D">
                    <w:pPr>
                      <w:pStyle w:val="6"/>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055429"/>
    <w:multiLevelType w:val="multilevel"/>
    <w:tmpl w:val="5D055429"/>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pStyle w:val="4"/>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DD3F37"/>
    <w:rsid w:val="01EA636A"/>
    <w:rsid w:val="0458327A"/>
    <w:rsid w:val="0B183F48"/>
    <w:rsid w:val="11327096"/>
    <w:rsid w:val="140C2170"/>
    <w:rsid w:val="175B1444"/>
    <w:rsid w:val="17710405"/>
    <w:rsid w:val="1EED0876"/>
    <w:rsid w:val="22610E74"/>
    <w:rsid w:val="22925F36"/>
    <w:rsid w:val="239C34FD"/>
    <w:rsid w:val="251B025E"/>
    <w:rsid w:val="26235823"/>
    <w:rsid w:val="288325A9"/>
    <w:rsid w:val="29AB7D45"/>
    <w:rsid w:val="2BDD3F37"/>
    <w:rsid w:val="2BE43F98"/>
    <w:rsid w:val="2C1438DF"/>
    <w:rsid w:val="2E1819E5"/>
    <w:rsid w:val="30444D13"/>
    <w:rsid w:val="386A5533"/>
    <w:rsid w:val="394F5D4C"/>
    <w:rsid w:val="3D0F66A9"/>
    <w:rsid w:val="3ED15697"/>
    <w:rsid w:val="416F3082"/>
    <w:rsid w:val="46130FB8"/>
    <w:rsid w:val="470F774D"/>
    <w:rsid w:val="4953791E"/>
    <w:rsid w:val="4EE7348E"/>
    <w:rsid w:val="4EEF1E97"/>
    <w:rsid w:val="4F8908AB"/>
    <w:rsid w:val="50C009B0"/>
    <w:rsid w:val="50D07E7E"/>
    <w:rsid w:val="51EE6B95"/>
    <w:rsid w:val="53074ECA"/>
    <w:rsid w:val="53746E0E"/>
    <w:rsid w:val="5859337D"/>
    <w:rsid w:val="62AE447C"/>
    <w:rsid w:val="643B156D"/>
    <w:rsid w:val="69DA622D"/>
    <w:rsid w:val="6F870086"/>
    <w:rsid w:val="74D83683"/>
    <w:rsid w:val="7AFD7566"/>
    <w:rsid w:val="7FBA3C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9"/>
    <w:pPr>
      <w:keepNext/>
      <w:keepLines/>
      <w:spacing w:before="260" w:after="260" w:line="416" w:lineRule="auto"/>
      <w:outlineLvl w:val="1"/>
    </w:pPr>
    <w:rPr>
      <w:rFonts w:ascii="Arial" w:hAnsi="Arial" w:eastAsia="黑体" w:cs="Times New Roman"/>
      <w:b/>
      <w:bCs/>
      <w:sz w:val="32"/>
      <w:szCs w:val="32"/>
    </w:rPr>
  </w:style>
  <w:style w:type="paragraph" w:styleId="4">
    <w:name w:val="heading 3"/>
    <w:basedOn w:val="1"/>
    <w:next w:val="1"/>
    <w:qFormat/>
    <w:uiPriority w:val="99"/>
    <w:pPr>
      <w:keepNext/>
      <w:keepLines/>
      <w:numPr>
        <w:ilvl w:val="2"/>
        <w:numId w:val="1"/>
      </w:numPr>
      <w:spacing w:before="260" w:after="260" w:line="416" w:lineRule="auto"/>
      <w:outlineLvl w:val="2"/>
    </w:pPr>
    <w:rPr>
      <w:rFonts w:ascii="Times New Roman" w:hAnsi="Times New Roman" w:eastAsia="宋体" w:cs="Times New Roman"/>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440" w:lineRule="exact"/>
      <w:ind w:firstLine="703"/>
    </w:pPr>
    <w:rPr>
      <w:sz w:val="30"/>
    </w:rPr>
  </w:style>
  <w:style w:type="paragraph" w:styleId="5">
    <w:name w:val="Body Text Indent"/>
    <w:basedOn w:val="1"/>
    <w:qFormat/>
    <w:uiPriority w:val="0"/>
    <w:pPr>
      <w:ind w:firstLine="42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1626</Words>
  <Characters>1728</Characters>
  <Lines>0</Lines>
  <Paragraphs>0</Paragraphs>
  <TotalTime>10</TotalTime>
  <ScaleCrop>false</ScaleCrop>
  <LinksUpToDate>false</LinksUpToDate>
  <CharactersWithSpaces>1738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2021-12-28T07:04:00Z</dcterms:created>
  <dc:creator>Administrator</dc:creator>
  <cp:lastModifiedBy>杨飞飞</cp:lastModifiedBy>
  <cp:lastPrinted>2025-06-19T01:32:00Z</cp:lastPrinted>
  <dcterms:modified xsi:type="dcterms:W3CDTF">2025-06-20T08:24:22Z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A1A64CD9F54A456492D2EE25C6813179_13</vt:lpwstr>
  </property>
  <property fmtid="{D5CDD505-2E9C-101B-9397-08002B2CF9AE}" pid="4" name="KSOTemplateDocerSaveRecord">
    <vt:lpwstr>eyJoZGlkIjoiNjBmNDIwM2JiYWU3ZjE2OWY0YjQxN2QzNjIwNDhlYzkiLCJ1c2VySWQiOiIyNzk0NDQ3OTYifQ==</vt:lpwstr>
  </property>
</Properties>
</file>