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700" w:lineRule="exact"/>
        <w:jc w:val="center"/>
        <w:textAlignment w:val="auto"/>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犍为县自然资源局</w:t>
      </w:r>
    </w:p>
    <w:p>
      <w:pPr>
        <w:keepNext w:val="0"/>
        <w:keepLines w:val="0"/>
        <w:pageBreakBefore w:val="0"/>
        <w:widowControl w:val="0"/>
        <w:kinsoku/>
        <w:wordWrap/>
        <w:overflowPunct/>
        <w:topLinePunct w:val="0"/>
        <w:autoSpaceDE/>
        <w:autoSpaceDN/>
        <w:bidi w:val="0"/>
        <w:adjustRightInd/>
        <w:snapToGrid/>
        <w:spacing w:line="70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关于</w:t>
      </w:r>
      <w:r>
        <w:rPr>
          <w:rFonts w:hint="eastAsia" w:ascii="方正小标宋简体" w:hAnsi="方正小标宋简体" w:eastAsia="方正小标宋简体" w:cs="方正小标宋简体"/>
          <w:sz w:val="44"/>
          <w:szCs w:val="44"/>
          <w:lang w:eastAsia="zh-CN"/>
        </w:rPr>
        <w:t>《犍为县陆生野生动物致害补偿实施细则（征求意见稿）》</w:t>
      </w:r>
      <w:r>
        <w:rPr>
          <w:rFonts w:hint="eastAsia" w:ascii="方正小标宋简体" w:hAnsi="方正小标宋简体" w:eastAsia="方正小标宋简体" w:cs="方正小标宋简体"/>
          <w:sz w:val="44"/>
          <w:szCs w:val="44"/>
        </w:rPr>
        <w:t>的解读</w:t>
      </w:r>
    </w:p>
    <w:p>
      <w:pPr>
        <w:keepNext w:val="0"/>
        <w:keepLines w:val="0"/>
        <w:pageBreakBefore w:val="0"/>
        <w:kinsoku/>
        <w:wordWrap/>
        <w:overflowPunct/>
        <w:topLinePunct w:val="0"/>
        <w:bidi w:val="0"/>
        <w:spacing w:line="600" w:lineRule="exact"/>
        <w:ind w:firstLine="640" w:firstLineChars="200"/>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bidi w:val="0"/>
        <w:spacing w:line="58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eastAsia="仿宋_GB2312"/>
          <w:sz w:val="32"/>
          <w:szCs w:val="32"/>
          <w:lang w:eastAsia="zh-CN"/>
        </w:rPr>
        <w:t>为贯彻落实《四川省陆生野生动物致害补偿办法》，切实保障公民、法人和其他组织因保护的陆生野生动物造成人身伤害、财产损失享有依法取得政府补偿的权利，结合犍为实际，我局组织起草了《犍为县陆生野生动物致害补偿实施细则（征求意见稿）》（以下简称《细则》）。</w:t>
      </w:r>
    </w:p>
    <w:p>
      <w:pPr>
        <w:keepNext w:val="0"/>
        <w:keepLines w:val="0"/>
        <w:pageBreakBefore w:val="0"/>
        <w:widowControl w:val="0"/>
        <w:kinsoku/>
        <w:wordWrap/>
        <w:overflowPunct/>
        <w:topLinePunct w:val="0"/>
        <w:autoSpaceDE w:val="0"/>
        <w:autoSpaceDN w:val="0"/>
        <w:bidi w:val="0"/>
        <w:adjustRightInd w:val="0"/>
        <w:snapToGrid w:val="0"/>
        <w:spacing w:line="580" w:lineRule="exact"/>
        <w:ind w:firstLine="640" w:firstLineChars="200"/>
        <w:textAlignment w:val="auto"/>
        <w:rPr>
          <w:rFonts w:hint="eastAsia" w:ascii="黑体" w:hAnsi="仿宋_GB2312" w:eastAsia="黑体" w:cs="仿宋_GB2312"/>
          <w:kern w:val="0"/>
          <w:sz w:val="32"/>
          <w:szCs w:val="32"/>
        </w:rPr>
      </w:pPr>
      <w:r>
        <w:rPr>
          <w:rFonts w:hint="eastAsia" w:ascii="黑体" w:hAnsi="仿宋_GB2312" w:eastAsia="黑体" w:cs="仿宋_GB2312"/>
          <w:kern w:val="0"/>
          <w:sz w:val="32"/>
          <w:szCs w:val="32"/>
        </w:rPr>
        <w:t>一、制定依据和必要性</w:t>
      </w:r>
    </w:p>
    <w:p>
      <w:pPr>
        <w:keepNext w:val="0"/>
        <w:keepLines w:val="0"/>
        <w:pageBreakBefore w:val="0"/>
        <w:widowControl w:val="0"/>
        <w:kinsoku/>
        <w:wordWrap/>
        <w:overflowPunct/>
        <w:topLinePunct w:val="0"/>
        <w:autoSpaceDE w:val="0"/>
        <w:autoSpaceDN w:val="0"/>
        <w:bidi w:val="0"/>
        <w:adjustRightInd w:val="0"/>
        <w:snapToGrid w:val="0"/>
        <w:spacing w:line="580" w:lineRule="exact"/>
        <w:ind w:firstLine="640" w:firstLineChars="200"/>
        <w:textAlignment w:val="auto"/>
        <w:rPr>
          <w:rFonts w:hint="eastAsia" w:ascii="仿宋_GB2312" w:eastAsia="仿宋_GB2312"/>
          <w:sz w:val="32"/>
          <w:szCs w:val="32"/>
          <w:lang w:eastAsia="zh-CN"/>
        </w:rPr>
      </w:pPr>
      <w:r>
        <w:rPr>
          <w:rFonts w:hint="eastAsia" w:ascii="仿宋_GB2312" w:eastAsia="仿宋_GB2312"/>
          <w:sz w:val="32"/>
          <w:szCs w:val="32"/>
          <w:lang w:eastAsia="zh-CN"/>
        </w:rPr>
        <w:t>《细则》根据《中华人民共和国野生动物保护法》《中华人民共和国陆生野生动物保护实施条例》《四川省〈中华人民共和国野生动物保护法〉实施办法》等法律法规和《四川省人民政府办公厅关于印发四川省陆生野生动物致害补偿办法的通知》（川办规〔2023〕1号）文件进行制定。《细则》的制定既是贯彻落实《四川省陆生野生动物致害补偿办法》的具体举措，也是加强野生动物保护、维护人民群众生命财产安全、保障人民群众依法享有政府补偿权利的必要。</w:t>
      </w:r>
    </w:p>
    <w:p>
      <w:pPr>
        <w:keepNext w:val="0"/>
        <w:keepLines w:val="0"/>
        <w:pageBreakBefore w:val="0"/>
        <w:widowControl w:val="0"/>
        <w:kinsoku/>
        <w:wordWrap/>
        <w:overflowPunct/>
        <w:topLinePunct w:val="0"/>
        <w:autoSpaceDE w:val="0"/>
        <w:autoSpaceDN w:val="0"/>
        <w:bidi w:val="0"/>
        <w:adjustRightInd w:val="0"/>
        <w:snapToGrid w:val="0"/>
        <w:spacing w:line="580" w:lineRule="exact"/>
        <w:ind w:firstLine="640" w:firstLineChars="200"/>
        <w:textAlignment w:val="auto"/>
        <w:rPr>
          <w:rFonts w:hint="eastAsia" w:ascii="黑体" w:hAnsi="仿宋_GB2312" w:eastAsia="黑体" w:cs="仿宋_GB2312"/>
          <w:kern w:val="0"/>
          <w:sz w:val="32"/>
          <w:szCs w:val="32"/>
        </w:rPr>
      </w:pPr>
      <w:r>
        <w:rPr>
          <w:rFonts w:hint="eastAsia" w:ascii="黑体" w:hAnsi="仿宋_GB2312" w:eastAsia="黑体" w:cs="仿宋_GB2312"/>
          <w:kern w:val="0"/>
          <w:sz w:val="32"/>
          <w:szCs w:val="32"/>
        </w:rPr>
        <w:t>二、</w:t>
      </w:r>
      <w:r>
        <w:rPr>
          <w:rStyle w:val="8"/>
          <w:rFonts w:hint="eastAsia" w:ascii="黑体" w:hAnsi="宋体" w:eastAsia="黑体" w:cs="黑体"/>
          <w:i w:val="0"/>
          <w:caps w:val="0"/>
          <w:color w:val="333333"/>
          <w:spacing w:val="0"/>
          <w:sz w:val="32"/>
          <w:szCs w:val="32"/>
          <w:shd w:val="clear" w:color="auto" w:fill="FFFFFF"/>
          <w:lang w:val="en-US" w:eastAsia="zh-CN"/>
        </w:rPr>
        <w:t>意见征求</w:t>
      </w:r>
      <w:r>
        <w:rPr>
          <w:rFonts w:hint="eastAsia" w:ascii="黑体" w:hAnsi="仿宋_GB2312" w:eastAsia="黑体" w:cs="仿宋_GB2312"/>
          <w:kern w:val="0"/>
          <w:sz w:val="32"/>
          <w:szCs w:val="32"/>
        </w:rPr>
        <w:t>情况</w:t>
      </w:r>
    </w:p>
    <w:p>
      <w:pPr>
        <w:keepNext w:val="0"/>
        <w:keepLines w:val="0"/>
        <w:pageBreakBefore w:val="0"/>
        <w:widowControl w:val="0"/>
        <w:kinsoku/>
        <w:wordWrap/>
        <w:overflowPunct/>
        <w:topLinePunct w:val="0"/>
        <w:autoSpaceDE w:val="0"/>
        <w:autoSpaceDN w:val="0"/>
        <w:bidi w:val="0"/>
        <w:adjustRightInd w:val="0"/>
        <w:snapToGrid w:val="0"/>
        <w:spacing w:line="580" w:lineRule="exact"/>
        <w:ind w:firstLine="640" w:firstLineChars="200"/>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rPr>
        <w:t>202</w:t>
      </w:r>
      <w:r>
        <w:rPr>
          <w:rFonts w:hint="eastAsia" w:ascii="仿宋_GB2312" w:hAnsi="仿宋_GB2312" w:eastAsia="仿宋_GB2312" w:cs="仿宋_GB2312"/>
          <w:kern w:val="0"/>
          <w:sz w:val="32"/>
          <w:szCs w:val="32"/>
          <w:lang w:val="en-US" w:eastAsia="zh-CN"/>
        </w:rPr>
        <w:t>3</w:t>
      </w:r>
      <w:r>
        <w:rPr>
          <w:rFonts w:hint="eastAsia" w:ascii="仿宋_GB2312" w:hAnsi="仿宋_GB2312" w:eastAsia="仿宋_GB2312" w:cs="仿宋_GB2312"/>
          <w:kern w:val="0"/>
          <w:sz w:val="32"/>
          <w:szCs w:val="32"/>
        </w:rPr>
        <w:t>年</w:t>
      </w:r>
      <w:r>
        <w:rPr>
          <w:rFonts w:hint="eastAsia" w:ascii="仿宋_GB2312" w:hAnsi="仿宋_GB2312" w:eastAsia="仿宋_GB2312" w:cs="仿宋_GB2312"/>
          <w:kern w:val="0"/>
          <w:sz w:val="32"/>
          <w:szCs w:val="32"/>
          <w:lang w:val="en-US" w:eastAsia="zh-CN"/>
        </w:rPr>
        <w:t>5</w:t>
      </w:r>
      <w:r>
        <w:rPr>
          <w:rFonts w:hint="eastAsia" w:ascii="仿宋_GB2312" w:hAnsi="仿宋_GB2312" w:eastAsia="仿宋_GB2312" w:cs="仿宋_GB2312"/>
          <w:kern w:val="0"/>
          <w:sz w:val="32"/>
          <w:szCs w:val="32"/>
        </w:rPr>
        <w:t>月</w:t>
      </w:r>
      <w:r>
        <w:rPr>
          <w:rFonts w:hint="eastAsia" w:ascii="仿宋_GB2312" w:hAnsi="仿宋_GB2312" w:eastAsia="仿宋_GB2312" w:cs="仿宋_GB2312"/>
          <w:kern w:val="0"/>
          <w:sz w:val="32"/>
          <w:szCs w:val="32"/>
          <w:lang w:eastAsia="zh-CN"/>
        </w:rPr>
        <w:t>通过书面征求意见方式征求了各</w:t>
      </w:r>
      <w:r>
        <w:rPr>
          <w:rFonts w:hint="eastAsia" w:ascii="仿宋_GB2312" w:hAnsi="仿宋_GB2312" w:eastAsia="仿宋_GB2312" w:cs="仿宋_GB2312"/>
          <w:kern w:val="0"/>
          <w:sz w:val="32"/>
          <w:szCs w:val="32"/>
          <w:lang w:val="en-US" w:eastAsia="zh-CN"/>
        </w:rPr>
        <w:t>镇人民政府、</w:t>
      </w:r>
      <w:r>
        <w:rPr>
          <w:rFonts w:hint="eastAsia" w:ascii="仿宋_GB2312" w:hAnsi="仿宋_GB2312" w:eastAsia="仿宋_GB2312" w:cs="仿宋_GB2312"/>
          <w:kern w:val="0"/>
          <w:sz w:val="32"/>
          <w:szCs w:val="32"/>
          <w:lang w:eastAsia="zh-CN"/>
        </w:rPr>
        <w:t>县级有关部门的意见，</w:t>
      </w:r>
      <w:r>
        <w:rPr>
          <w:rFonts w:hint="eastAsia" w:ascii="仿宋_GB2312" w:hAnsi="仿宋_GB2312" w:eastAsia="仿宋_GB2312" w:cs="仿宋_GB2312"/>
          <w:kern w:val="0"/>
          <w:sz w:val="32"/>
          <w:szCs w:val="32"/>
          <w:lang w:val="en-US" w:eastAsia="zh-CN"/>
        </w:rPr>
        <w:t>6月组织各镇、县级有关部门召开了会商论证会，我局结合反馈意见进行了修改,</w:t>
      </w:r>
      <w:r>
        <w:rPr>
          <w:rFonts w:hint="eastAsia" w:ascii="仿宋_GB2312" w:hAnsi="仿宋_GB2312" w:eastAsia="仿宋_GB2312" w:cs="仿宋_GB2312"/>
          <w:sz w:val="32"/>
          <w:szCs w:val="32"/>
        </w:rPr>
        <w:t>2023年</w:t>
      </w:r>
      <w:r>
        <w:rPr>
          <w:rFonts w:hint="eastAsia" w:ascii="仿宋_GB2312" w:hAnsi="仿宋_GB2312" w:eastAsia="仿宋_GB2312" w:cs="仿宋_GB2312"/>
          <w:sz w:val="32"/>
          <w:szCs w:val="32"/>
          <w:lang w:val="en-US" w:eastAsia="zh-CN"/>
        </w:rPr>
        <w:t>10</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30</w:t>
      </w:r>
      <w:r>
        <w:rPr>
          <w:rFonts w:hint="eastAsia" w:ascii="仿宋_GB2312" w:hAnsi="仿宋_GB2312" w:eastAsia="仿宋_GB2312" w:cs="仿宋_GB2312"/>
          <w:sz w:val="32"/>
          <w:szCs w:val="32"/>
        </w:rPr>
        <w:t>日</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7</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日</w:t>
      </w:r>
      <w:r>
        <w:rPr>
          <w:rFonts w:hint="eastAsia" w:ascii="仿宋_GB2312" w:hAnsi="仿宋_GB2312" w:eastAsia="仿宋_GB2312" w:cs="仿宋_GB2312"/>
          <w:sz w:val="32"/>
          <w:szCs w:val="32"/>
          <w:lang w:eastAsia="zh-CN"/>
        </w:rPr>
        <w:t>先后</w:t>
      </w:r>
      <w:bookmarkStart w:id="0" w:name="_GoBack"/>
      <w:bookmarkEnd w:id="0"/>
      <w:r>
        <w:rPr>
          <w:rFonts w:hint="eastAsia" w:ascii="仿宋_GB2312" w:hAnsi="仿宋_GB2312" w:eastAsia="仿宋_GB2312" w:cs="仿宋_GB2312"/>
          <w:sz w:val="32"/>
          <w:szCs w:val="32"/>
          <w:lang w:eastAsia="zh-CN"/>
        </w:rPr>
        <w:t>两次</w:t>
      </w:r>
      <w:r>
        <w:rPr>
          <w:rFonts w:hint="eastAsia" w:ascii="仿宋_GB2312" w:hAnsi="仿宋_GB2312" w:eastAsia="仿宋_GB2312" w:cs="仿宋_GB2312"/>
          <w:kern w:val="0"/>
          <w:sz w:val="32"/>
          <w:szCs w:val="32"/>
          <w:lang w:eastAsia="zh-CN"/>
        </w:rPr>
        <w:t>通过书面征求意见方式征求了各</w:t>
      </w:r>
      <w:r>
        <w:rPr>
          <w:rFonts w:hint="eastAsia" w:ascii="仿宋_GB2312" w:hAnsi="仿宋_GB2312" w:eastAsia="仿宋_GB2312" w:cs="仿宋_GB2312"/>
          <w:kern w:val="0"/>
          <w:sz w:val="32"/>
          <w:szCs w:val="32"/>
          <w:lang w:val="en-US" w:eastAsia="zh-CN"/>
        </w:rPr>
        <w:t>镇人民政府、</w:t>
      </w:r>
      <w:r>
        <w:rPr>
          <w:rFonts w:hint="eastAsia" w:ascii="仿宋_GB2312" w:hAnsi="仿宋_GB2312" w:eastAsia="仿宋_GB2312" w:cs="仿宋_GB2312"/>
          <w:kern w:val="0"/>
          <w:sz w:val="32"/>
          <w:szCs w:val="32"/>
          <w:lang w:eastAsia="zh-CN"/>
        </w:rPr>
        <w:t>县级有关部门的意见并进行了修改。</w:t>
      </w:r>
    </w:p>
    <w:p>
      <w:pPr>
        <w:keepNext w:val="0"/>
        <w:keepLines w:val="0"/>
        <w:pageBreakBefore w:val="0"/>
        <w:widowControl w:val="0"/>
        <w:kinsoku/>
        <w:wordWrap/>
        <w:overflowPunct/>
        <w:topLinePunct w:val="0"/>
        <w:autoSpaceDE w:val="0"/>
        <w:autoSpaceDN w:val="0"/>
        <w:bidi w:val="0"/>
        <w:adjustRightInd w:val="0"/>
        <w:snapToGrid w:val="0"/>
        <w:spacing w:line="580" w:lineRule="exact"/>
        <w:ind w:firstLine="640" w:firstLineChars="200"/>
        <w:textAlignment w:val="auto"/>
        <w:rPr>
          <w:rFonts w:hint="default" w:ascii="Calibri" w:hAnsi="Calibri" w:cs="Calibri"/>
          <w:i w:val="0"/>
          <w:caps w:val="0"/>
          <w:color w:val="333333"/>
          <w:spacing w:val="0"/>
          <w:sz w:val="21"/>
          <w:szCs w:val="21"/>
        </w:rPr>
      </w:pPr>
      <w:r>
        <w:rPr>
          <w:rStyle w:val="8"/>
          <w:rFonts w:hint="eastAsia" w:ascii="黑体" w:hAnsi="宋体" w:eastAsia="黑体" w:cs="黑体"/>
          <w:i w:val="0"/>
          <w:caps w:val="0"/>
          <w:color w:val="333333"/>
          <w:spacing w:val="0"/>
          <w:sz w:val="32"/>
          <w:szCs w:val="32"/>
          <w:shd w:val="clear" w:color="auto" w:fill="FFFFFF"/>
          <w:lang w:eastAsia="zh-CN"/>
        </w:rPr>
        <w:t>三</w:t>
      </w:r>
      <w:r>
        <w:rPr>
          <w:rStyle w:val="8"/>
          <w:rFonts w:hint="default" w:ascii="黑体" w:hAnsi="宋体" w:eastAsia="黑体" w:cs="黑体"/>
          <w:i w:val="0"/>
          <w:caps w:val="0"/>
          <w:color w:val="333333"/>
          <w:spacing w:val="0"/>
          <w:sz w:val="32"/>
          <w:szCs w:val="32"/>
          <w:shd w:val="clear" w:color="auto" w:fill="FFFFFF"/>
        </w:rPr>
        <w:t>、主要内容</w:t>
      </w:r>
    </w:p>
    <w:p>
      <w:pPr>
        <w:keepNext w:val="0"/>
        <w:keepLines w:val="0"/>
        <w:pageBreakBefore w:val="0"/>
        <w:widowControl w:val="0"/>
        <w:kinsoku/>
        <w:wordWrap/>
        <w:overflowPunct/>
        <w:topLinePunct w:val="0"/>
        <w:autoSpaceDE w:val="0"/>
        <w:autoSpaceDN w:val="0"/>
        <w:bidi w:val="0"/>
        <w:adjustRightInd w:val="0"/>
        <w:snapToGrid w:val="0"/>
        <w:spacing w:line="580" w:lineRule="exact"/>
        <w:ind w:firstLine="640" w:firstLineChars="200"/>
        <w:textAlignment w:val="auto"/>
        <w:rPr>
          <w:rFonts w:hint="eastAsia" w:ascii="仿宋_GB2312" w:eastAsia="仿宋_GB2312"/>
          <w:color w:val="auto"/>
          <w:sz w:val="32"/>
          <w:szCs w:val="32"/>
        </w:rPr>
      </w:pPr>
      <w:r>
        <w:rPr>
          <w:rFonts w:hint="eastAsia" w:ascii="仿宋_GB2312" w:eastAsia="仿宋_GB2312"/>
          <w:color w:val="auto"/>
          <w:sz w:val="32"/>
          <w:szCs w:val="32"/>
        </w:rPr>
        <w:t>《细则》共</w:t>
      </w:r>
      <w:r>
        <w:rPr>
          <w:rFonts w:hint="eastAsia" w:ascii="仿宋_GB2312" w:eastAsia="仿宋_GB2312"/>
          <w:color w:val="auto"/>
          <w:sz w:val="32"/>
          <w:szCs w:val="32"/>
          <w:lang w:eastAsia="zh-CN"/>
        </w:rPr>
        <w:t>五章二十一条</w:t>
      </w:r>
      <w:r>
        <w:rPr>
          <w:rFonts w:hint="eastAsia" w:ascii="仿宋_GB2312" w:eastAsia="仿宋_GB2312"/>
          <w:color w:val="auto"/>
          <w:sz w:val="32"/>
          <w:szCs w:val="32"/>
        </w:rPr>
        <w:t>，主要明确了补偿范围、补偿情形、不补偿情形、</w:t>
      </w:r>
      <w:r>
        <w:rPr>
          <w:rFonts w:hint="eastAsia" w:ascii="仿宋_GB2312" w:eastAsia="仿宋_GB2312"/>
          <w:color w:val="auto"/>
          <w:sz w:val="32"/>
          <w:szCs w:val="32"/>
          <w:lang w:eastAsia="zh-CN"/>
        </w:rPr>
        <w:t>补偿标准、补偿流程、部门职能</w:t>
      </w:r>
      <w:r>
        <w:rPr>
          <w:rFonts w:hint="eastAsia" w:ascii="仿宋_GB2312" w:eastAsia="仿宋_GB2312"/>
          <w:color w:val="auto"/>
          <w:sz w:val="32"/>
          <w:szCs w:val="32"/>
        </w:rPr>
        <w:t>职责等</w:t>
      </w:r>
      <w:r>
        <w:rPr>
          <w:rFonts w:hint="eastAsia" w:ascii="仿宋_GB2312" w:eastAsia="仿宋_GB2312"/>
          <w:color w:val="auto"/>
          <w:sz w:val="32"/>
          <w:szCs w:val="32"/>
          <w:lang w:eastAsia="zh-CN"/>
        </w:rPr>
        <w:t>内容</w:t>
      </w:r>
      <w:r>
        <w:rPr>
          <w:rFonts w:hint="eastAsia" w:ascii="仿宋_GB2312" w:eastAsia="仿宋_GB2312"/>
          <w:color w:val="auto"/>
          <w:sz w:val="32"/>
          <w:szCs w:val="32"/>
        </w:rPr>
        <w:t>，有效期为5年。</w:t>
      </w:r>
    </w:p>
    <w:p>
      <w:pPr>
        <w:keepNext w:val="0"/>
        <w:keepLines w:val="0"/>
        <w:pageBreakBefore w:val="0"/>
        <w:widowControl w:val="0"/>
        <w:kinsoku/>
        <w:wordWrap/>
        <w:overflowPunct/>
        <w:topLinePunct w:val="0"/>
        <w:autoSpaceDE w:val="0"/>
        <w:autoSpaceDN w:val="0"/>
        <w:bidi w:val="0"/>
        <w:adjustRightInd w:val="0"/>
        <w:snapToGrid w:val="0"/>
        <w:spacing w:line="580" w:lineRule="exact"/>
        <w:ind w:firstLine="640" w:firstLineChars="200"/>
        <w:textAlignment w:val="auto"/>
        <w:rPr>
          <w:rFonts w:hint="default"/>
          <w:lang w:val="en-US" w:eastAsia="zh-CN"/>
        </w:rPr>
      </w:pPr>
      <w:r>
        <w:rPr>
          <w:rFonts w:hint="eastAsia" w:ascii="仿宋_GB2312" w:eastAsia="仿宋_GB2312"/>
          <w:color w:val="auto"/>
          <w:sz w:val="32"/>
          <w:szCs w:val="32"/>
          <w:lang w:eastAsia="zh-CN"/>
        </w:rPr>
        <w:t>第一章“总则”共</w:t>
      </w:r>
      <w:r>
        <w:rPr>
          <w:rFonts w:hint="eastAsia" w:ascii="仿宋_GB2312" w:eastAsia="仿宋_GB2312"/>
          <w:color w:val="auto"/>
          <w:sz w:val="32"/>
          <w:szCs w:val="32"/>
          <w:lang w:val="en-US" w:eastAsia="zh-CN"/>
        </w:rPr>
        <w:t>3</w:t>
      </w:r>
      <w:r>
        <w:rPr>
          <w:rFonts w:hint="eastAsia" w:ascii="仿宋_GB2312" w:eastAsia="仿宋_GB2312"/>
          <w:color w:val="auto"/>
          <w:sz w:val="32"/>
          <w:szCs w:val="32"/>
          <w:lang w:eastAsia="zh-CN"/>
        </w:rPr>
        <w:t>条，主要明确了造成致害可以获得补偿的陆生野生动物范围。</w:t>
      </w:r>
    </w:p>
    <w:p>
      <w:pPr>
        <w:keepNext w:val="0"/>
        <w:keepLines w:val="0"/>
        <w:pageBreakBefore w:val="0"/>
        <w:widowControl w:val="0"/>
        <w:kinsoku/>
        <w:wordWrap/>
        <w:overflowPunct/>
        <w:topLinePunct w:val="0"/>
        <w:autoSpaceDE w:val="0"/>
        <w:autoSpaceDN w:val="0"/>
        <w:bidi w:val="0"/>
        <w:adjustRightInd w:val="0"/>
        <w:snapToGrid w:val="0"/>
        <w:spacing w:line="580" w:lineRule="exact"/>
        <w:ind w:firstLine="640" w:firstLineChars="200"/>
        <w:textAlignment w:val="auto"/>
        <w:rPr>
          <w:rFonts w:hint="eastAsia"/>
          <w:lang w:val="en-US" w:eastAsia="zh-CN"/>
        </w:rPr>
      </w:pPr>
      <w:r>
        <w:rPr>
          <w:rFonts w:hint="eastAsia" w:ascii="仿宋_GB2312" w:eastAsia="仿宋_GB2312"/>
          <w:color w:val="auto"/>
          <w:sz w:val="32"/>
          <w:szCs w:val="32"/>
          <w:lang w:eastAsia="zh-CN"/>
        </w:rPr>
        <w:t>第二章“补偿标准”共</w:t>
      </w:r>
      <w:r>
        <w:rPr>
          <w:rFonts w:hint="eastAsia" w:ascii="仿宋_GB2312" w:eastAsia="仿宋_GB2312"/>
          <w:color w:val="auto"/>
          <w:sz w:val="32"/>
          <w:szCs w:val="32"/>
          <w:lang w:val="en-US" w:eastAsia="zh-CN"/>
        </w:rPr>
        <w:t>3条，主要内容：一是明确了野生动物致害给予补偿的五种情形和不予补偿的八种情形；二是明确了造成人员身体伤害补偿医疗救治费、因误工减少收入、一次性残疾补偿金、死亡补偿金、丧葬费的补偿标准以及造成农作物、林木和林下作物损失、造成家禽家畜和特种养殖动物死亡、造成合法房屋圈舍等生产生活设施设备损毁的补偿标准。</w:t>
      </w:r>
    </w:p>
    <w:p>
      <w:pPr>
        <w:keepNext w:val="0"/>
        <w:keepLines w:val="0"/>
        <w:pageBreakBefore w:val="0"/>
        <w:widowControl w:val="0"/>
        <w:kinsoku/>
        <w:wordWrap/>
        <w:overflowPunct/>
        <w:topLinePunct w:val="0"/>
        <w:autoSpaceDE w:val="0"/>
        <w:autoSpaceDN w:val="0"/>
        <w:bidi w:val="0"/>
        <w:adjustRightInd w:val="0"/>
        <w:snapToGrid w:val="0"/>
        <w:spacing w:line="580" w:lineRule="exact"/>
        <w:ind w:firstLine="640" w:firstLineChars="200"/>
        <w:textAlignment w:val="auto"/>
        <w:rPr>
          <w:rFonts w:hint="default"/>
          <w:lang w:val="en-US" w:eastAsia="zh-CN"/>
        </w:rPr>
      </w:pPr>
      <w:r>
        <w:rPr>
          <w:rFonts w:hint="eastAsia" w:ascii="仿宋_GB2312" w:eastAsia="仿宋_GB2312"/>
          <w:color w:val="auto"/>
          <w:sz w:val="32"/>
          <w:szCs w:val="32"/>
          <w:lang w:eastAsia="zh-CN"/>
        </w:rPr>
        <w:t>第三章“补偿流程”共</w:t>
      </w:r>
      <w:r>
        <w:rPr>
          <w:rFonts w:hint="eastAsia" w:ascii="仿宋_GB2312" w:eastAsia="仿宋_GB2312"/>
          <w:color w:val="auto"/>
          <w:sz w:val="32"/>
          <w:szCs w:val="32"/>
          <w:lang w:val="en-US" w:eastAsia="zh-CN"/>
        </w:rPr>
        <w:t>8条，包含了“受害人提交申请——镇人民政府调查核实——调查情况报告公示——镇人民政府将相关资料报县自然资源局——县自然资源局作出补偿建议报县人民政府——县人民政府作出补偿决定——县财政拨付补偿资金”的具体流程。</w:t>
      </w:r>
    </w:p>
    <w:p>
      <w:pPr>
        <w:keepNext w:val="0"/>
        <w:keepLines w:val="0"/>
        <w:pageBreakBefore w:val="0"/>
        <w:widowControl w:val="0"/>
        <w:kinsoku/>
        <w:wordWrap/>
        <w:overflowPunct/>
        <w:topLinePunct w:val="0"/>
        <w:autoSpaceDE w:val="0"/>
        <w:autoSpaceDN w:val="0"/>
        <w:bidi w:val="0"/>
        <w:adjustRightInd w:val="0"/>
        <w:snapToGrid w:val="0"/>
        <w:spacing w:line="580" w:lineRule="exact"/>
        <w:ind w:firstLine="640" w:firstLineChars="200"/>
        <w:textAlignment w:val="auto"/>
        <w:rPr>
          <w:rFonts w:hint="eastAsia"/>
          <w:lang w:val="en-US" w:eastAsia="zh-CN"/>
        </w:rPr>
      </w:pPr>
      <w:r>
        <w:rPr>
          <w:rFonts w:hint="eastAsia" w:ascii="仿宋_GB2312" w:eastAsia="仿宋_GB2312"/>
          <w:color w:val="auto"/>
          <w:sz w:val="32"/>
          <w:szCs w:val="32"/>
          <w:lang w:eastAsia="zh-CN"/>
        </w:rPr>
        <w:t>第四章“职能职责”共</w:t>
      </w:r>
      <w:r>
        <w:rPr>
          <w:rFonts w:hint="eastAsia" w:ascii="仿宋_GB2312" w:eastAsia="仿宋_GB2312"/>
          <w:color w:val="auto"/>
          <w:sz w:val="32"/>
          <w:szCs w:val="32"/>
          <w:lang w:val="en-US" w:eastAsia="zh-CN"/>
        </w:rPr>
        <w:t>1条，主要明确了县人民政府、县自然资源局、县发展改革局、县公安局、县民政局、县财政局、县住房城乡建设局、县农业农村局、县卫生健康局等有关部门以及各镇政府的职能职责。</w:t>
      </w:r>
    </w:p>
    <w:p>
      <w:pPr>
        <w:keepNext w:val="0"/>
        <w:keepLines w:val="0"/>
        <w:pageBreakBefore w:val="0"/>
        <w:widowControl w:val="0"/>
        <w:kinsoku/>
        <w:wordWrap/>
        <w:overflowPunct/>
        <w:topLinePunct w:val="0"/>
        <w:bidi w:val="0"/>
        <w:spacing w:line="580" w:lineRule="exact"/>
        <w:ind w:firstLine="640" w:firstLineChars="200"/>
        <w:textAlignment w:val="auto"/>
        <w:rPr>
          <w:rFonts w:hint="eastAsia"/>
          <w:lang w:eastAsia="zh-CN"/>
        </w:rPr>
      </w:pPr>
      <w:r>
        <w:rPr>
          <w:rFonts w:hint="eastAsia" w:ascii="仿宋_GB2312" w:eastAsia="仿宋_GB2312"/>
          <w:color w:val="auto"/>
          <w:sz w:val="32"/>
          <w:szCs w:val="32"/>
          <w:lang w:eastAsia="zh-CN"/>
        </w:rPr>
        <w:t>第五章“其他”共</w:t>
      </w:r>
      <w:r>
        <w:rPr>
          <w:rFonts w:hint="eastAsia" w:ascii="仿宋_GB2312" w:eastAsia="仿宋_GB2312"/>
          <w:color w:val="auto"/>
          <w:sz w:val="32"/>
          <w:szCs w:val="32"/>
          <w:lang w:val="en-US" w:eastAsia="zh-CN"/>
        </w:rPr>
        <w:t>6条</w:t>
      </w:r>
      <w:r>
        <w:rPr>
          <w:rFonts w:hint="eastAsia" w:ascii="仿宋_GB2312" w:hAnsi="仿宋_GB2312" w:eastAsia="仿宋_GB2312" w:cs="仿宋_GB2312"/>
          <w:kern w:val="0"/>
          <w:sz w:val="32"/>
          <w:szCs w:val="32"/>
          <w:lang w:eastAsia="zh-CN"/>
        </w:rPr>
        <w:t>，《细则》有效期</w:t>
      </w:r>
      <w:r>
        <w:rPr>
          <w:rFonts w:hint="eastAsia" w:ascii="仿宋_GB2312" w:hAnsi="仿宋_GB2312" w:eastAsia="仿宋_GB2312" w:cs="仿宋_GB2312"/>
          <w:kern w:val="0"/>
          <w:sz w:val="32"/>
          <w:szCs w:val="32"/>
          <w:lang w:val="en-US" w:eastAsia="zh-CN"/>
        </w:rPr>
        <w:t>5年。</w:t>
      </w:r>
    </w:p>
    <w:sectPr>
      <w:footerReference r:id="rId3" w:type="default"/>
      <w:pgSz w:w="11906" w:h="16838"/>
      <w:pgMar w:top="2041" w:right="1468" w:bottom="1440" w:left="1468"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keepNext w:val="0"/>
                            <w:keepLines w:val="0"/>
                            <w:pageBreakBefore w:val="0"/>
                            <w:widowControl w:val="0"/>
                            <w:kinsoku/>
                            <w:wordWrap/>
                            <w:overflowPunct/>
                            <w:topLinePunct w:val="0"/>
                            <w:autoSpaceDE/>
                            <w:autoSpaceDN/>
                            <w:bidi w:val="0"/>
                            <w:adjustRightInd/>
                            <w:snapToGrid w:val="0"/>
                            <w:ind w:left="420" w:leftChars="200" w:right="420" w:rightChars="200"/>
                            <w:textAlignment w:val="auto"/>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3"/>
                      <w:keepNext w:val="0"/>
                      <w:keepLines w:val="0"/>
                      <w:pageBreakBefore w:val="0"/>
                      <w:widowControl w:val="0"/>
                      <w:kinsoku/>
                      <w:wordWrap/>
                      <w:overflowPunct/>
                      <w:topLinePunct w:val="0"/>
                      <w:autoSpaceDE/>
                      <w:autoSpaceDN/>
                      <w:bidi w:val="0"/>
                      <w:adjustRightInd/>
                      <w:snapToGrid w:val="0"/>
                      <w:ind w:left="420" w:leftChars="200" w:right="420" w:rightChars="200"/>
                      <w:textAlignment w:val="auto"/>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g2ZjJhMzNhOTRmOGY0MWRhNzMyYmU5NTdlZmU1ZjAifQ=="/>
  </w:docVars>
  <w:rsids>
    <w:rsidRoot w:val="48C21DE3"/>
    <w:rsid w:val="00692FA7"/>
    <w:rsid w:val="01E054EB"/>
    <w:rsid w:val="02026862"/>
    <w:rsid w:val="040D07F4"/>
    <w:rsid w:val="04580E0F"/>
    <w:rsid w:val="04781A0B"/>
    <w:rsid w:val="050D470B"/>
    <w:rsid w:val="06A27213"/>
    <w:rsid w:val="0FD22917"/>
    <w:rsid w:val="10E943BC"/>
    <w:rsid w:val="12474016"/>
    <w:rsid w:val="13A445CA"/>
    <w:rsid w:val="143516C6"/>
    <w:rsid w:val="14EC32A2"/>
    <w:rsid w:val="1576396F"/>
    <w:rsid w:val="1B3A28C7"/>
    <w:rsid w:val="1CA95615"/>
    <w:rsid w:val="1DDA7483"/>
    <w:rsid w:val="1E4E3AB1"/>
    <w:rsid w:val="1F3454E9"/>
    <w:rsid w:val="21354AB4"/>
    <w:rsid w:val="22D1655A"/>
    <w:rsid w:val="23240919"/>
    <w:rsid w:val="23250720"/>
    <w:rsid w:val="23F52C20"/>
    <w:rsid w:val="26357D1F"/>
    <w:rsid w:val="277C197B"/>
    <w:rsid w:val="28567598"/>
    <w:rsid w:val="28620159"/>
    <w:rsid w:val="29F55728"/>
    <w:rsid w:val="2ACC66B4"/>
    <w:rsid w:val="2CBB1D3C"/>
    <w:rsid w:val="2CF047C1"/>
    <w:rsid w:val="2DCE669B"/>
    <w:rsid w:val="2FA06136"/>
    <w:rsid w:val="30000983"/>
    <w:rsid w:val="31140B8A"/>
    <w:rsid w:val="330204DE"/>
    <w:rsid w:val="339935C8"/>
    <w:rsid w:val="353220F1"/>
    <w:rsid w:val="35973E3A"/>
    <w:rsid w:val="365F3677"/>
    <w:rsid w:val="371F2F64"/>
    <w:rsid w:val="389E2FF7"/>
    <w:rsid w:val="3914724D"/>
    <w:rsid w:val="397B127F"/>
    <w:rsid w:val="39AD7EAE"/>
    <w:rsid w:val="3A2F6D0C"/>
    <w:rsid w:val="3B497682"/>
    <w:rsid w:val="3C9568F7"/>
    <w:rsid w:val="3D8A5D30"/>
    <w:rsid w:val="41D81760"/>
    <w:rsid w:val="4456696C"/>
    <w:rsid w:val="446C1170"/>
    <w:rsid w:val="45C5539B"/>
    <w:rsid w:val="45E61A88"/>
    <w:rsid w:val="48C21DE3"/>
    <w:rsid w:val="49A0324A"/>
    <w:rsid w:val="4BA335AD"/>
    <w:rsid w:val="4DC66910"/>
    <w:rsid w:val="4DFB191F"/>
    <w:rsid w:val="4F675ED1"/>
    <w:rsid w:val="51C21AE4"/>
    <w:rsid w:val="522D2509"/>
    <w:rsid w:val="53BC5F17"/>
    <w:rsid w:val="54E65AEA"/>
    <w:rsid w:val="54F01A04"/>
    <w:rsid w:val="56026953"/>
    <w:rsid w:val="587B479B"/>
    <w:rsid w:val="590649AC"/>
    <w:rsid w:val="59CB7409"/>
    <w:rsid w:val="5A4412E8"/>
    <w:rsid w:val="5AEA5520"/>
    <w:rsid w:val="5D942587"/>
    <w:rsid w:val="5E2D6537"/>
    <w:rsid w:val="5EEC1F4F"/>
    <w:rsid w:val="5F013C4C"/>
    <w:rsid w:val="600F5EED"/>
    <w:rsid w:val="60213E7A"/>
    <w:rsid w:val="60A35DAD"/>
    <w:rsid w:val="638C5AAE"/>
    <w:rsid w:val="63CB4828"/>
    <w:rsid w:val="64232536"/>
    <w:rsid w:val="68014CBD"/>
    <w:rsid w:val="693A042A"/>
    <w:rsid w:val="6A851407"/>
    <w:rsid w:val="6B7D0AFE"/>
    <w:rsid w:val="6BB66DE0"/>
    <w:rsid w:val="6BF123BD"/>
    <w:rsid w:val="6CA67BE1"/>
    <w:rsid w:val="6CD40BF2"/>
    <w:rsid w:val="6D0448B3"/>
    <w:rsid w:val="6DA700B4"/>
    <w:rsid w:val="6F524050"/>
    <w:rsid w:val="73C03C7E"/>
    <w:rsid w:val="74B530B7"/>
    <w:rsid w:val="76785377"/>
    <w:rsid w:val="77783BDE"/>
    <w:rsid w:val="786A7DEF"/>
    <w:rsid w:val="79386064"/>
    <w:rsid w:val="79BA28A5"/>
    <w:rsid w:val="7A8A1FAC"/>
    <w:rsid w:val="7C2A25DC"/>
    <w:rsid w:val="7CED7166"/>
    <w:rsid w:val="7D0E5A5A"/>
    <w:rsid w:val="7D764357"/>
    <w:rsid w:val="7EB037B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99"/>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qFormat/>
    <w:uiPriority w:val="0"/>
    <w:pPr>
      <w:spacing w:before="100" w:beforeAutospacing="1" w:after="100" w:afterAutospacing="1"/>
      <w:ind w:left="0" w:right="0"/>
      <w:jc w:val="left"/>
    </w:pPr>
    <w:rPr>
      <w:kern w:val="0"/>
      <w:sz w:val="24"/>
      <w:lang w:val="en-US" w:eastAsia="zh-CN" w:bidi="ar"/>
    </w:rPr>
  </w:style>
  <w:style w:type="character" w:styleId="8">
    <w:name w:val="Emphasis"/>
    <w:basedOn w:val="7"/>
    <w:qFormat/>
    <w:uiPriority w:val="0"/>
    <w:rPr>
      <w:i/>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995</Words>
  <Characters>1010</Characters>
  <Lines>0</Lines>
  <Paragraphs>0</Paragraphs>
  <TotalTime>1</TotalTime>
  <ScaleCrop>false</ScaleCrop>
  <LinksUpToDate>false</LinksUpToDate>
  <CharactersWithSpaces>1010</CharactersWithSpaces>
  <Application>WPS Office_11.1.0.15319_F1E327BC-269C-435d-A152-05C5408002CA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2021-11-18T07:23:00Z</dcterms:created>
  <dc:creator>Administrator</dc:creator>
  <cp:lastModifiedBy>微信用户</cp:lastModifiedBy>
  <cp:lastPrinted>2023-01-16T03:39:00Z</cp:lastPrinted>
  <dcterms:modified xsi:type="dcterms:W3CDTF">2025-07-21T04:45:46Z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2052-11.1.0.15319</vt:lpwstr>
  </property>
  <property fmtid="{D5CDD505-2E9C-101B-9397-08002B2CF9AE}" pid="3" name="ICV">
    <vt:lpwstr>A36BC75D0C394382870335A62D9D9423_13</vt:lpwstr>
  </property>
</Properties>
</file>