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textAlignment w:val="center"/>
        <w:rPr>
          <w:rFonts w:ascii="Times New Roman" w:hAnsi="Times New Roman" w:eastAsia="方正小标宋简体" w:cs="Times New Roman"/>
          <w:kern w:val="0"/>
          <w:sz w:val="40"/>
          <w:szCs w:val="40"/>
        </w:rPr>
      </w:pPr>
      <w:r>
        <w:rPr>
          <w:rFonts w:hint="eastAsia" w:ascii="Times New Roman" w:hAnsi="Times New Roman" w:eastAsia="方正小标宋简体" w:cs="Times New Roman"/>
          <w:kern w:val="0"/>
          <w:sz w:val="40"/>
          <w:szCs w:val="40"/>
        </w:rPr>
        <w:t>乐山市</w:t>
      </w:r>
      <w:r>
        <w:rPr>
          <w:rFonts w:hint="eastAsia" w:ascii="Times New Roman" w:hAnsi="Times New Roman" w:eastAsia="方正小标宋简体" w:cs="Times New Roman"/>
          <w:kern w:val="0"/>
          <w:sz w:val="40"/>
          <w:szCs w:val="40"/>
          <w:lang w:eastAsia="zh-CN"/>
        </w:rPr>
        <w:t>公安局</w:t>
      </w:r>
      <w:r>
        <w:rPr>
          <w:rFonts w:ascii="Times New Roman" w:hAnsi="Times New Roman" w:eastAsia="方正小标宋简体" w:cs="Times New Roman"/>
          <w:kern w:val="0"/>
          <w:sz w:val="40"/>
          <w:szCs w:val="40"/>
        </w:rPr>
        <w:t>行政许可事项清单（202</w:t>
      </w:r>
      <w:r>
        <w:rPr>
          <w:rFonts w:hint="eastAsia" w:ascii="Times New Roman" w:hAnsi="Times New Roman" w:eastAsia="方正小标宋简体" w:cs="Times New Roman"/>
          <w:kern w:val="0"/>
          <w:sz w:val="40"/>
          <w:szCs w:val="40"/>
          <w:lang w:eastAsia="zh"/>
        </w:rPr>
        <w:t>5</w:t>
      </w:r>
      <w:r>
        <w:rPr>
          <w:rFonts w:ascii="Times New Roman" w:hAnsi="Times New Roman" w:eastAsia="方正小标宋简体" w:cs="Times New Roman"/>
          <w:kern w:val="0"/>
          <w:sz w:val="40"/>
          <w:szCs w:val="40"/>
        </w:rPr>
        <w:t>年版）</w:t>
      </w:r>
    </w:p>
    <w:p>
      <w:pPr>
        <w:pStyle w:val="2"/>
        <w:spacing w:before="160" w:beforeLines="50"/>
        <w:rPr>
          <w:rFonts w:hint="default" w:ascii="黑体" w:hAnsi="黑体" w:eastAsia="黑体" w:cs="黑体"/>
          <w:color w:val="FF0000"/>
          <w:sz w:val="28"/>
          <w:szCs w:val="28"/>
          <w:lang w:val="en-US" w:eastAsia="zh-CN"/>
        </w:rPr>
      </w:pPr>
      <w:r>
        <w:rPr>
          <w:rFonts w:hint="eastAsia" w:ascii="黑体" w:hAnsi="黑体" w:eastAsia="黑体" w:cs="黑体"/>
          <w:color w:val="auto"/>
          <w:sz w:val="28"/>
          <w:szCs w:val="28"/>
        </w:rPr>
        <w:t>一、我市实施的中央层面设定的行政许可事项</w:t>
      </w:r>
      <w:r>
        <w:rPr>
          <w:rFonts w:hint="eastAsia" w:ascii="黑体" w:hAnsi="黑体" w:eastAsia="黑体" w:cs="黑体"/>
          <w:color w:val="auto"/>
          <w:sz w:val="28"/>
          <w:szCs w:val="28"/>
          <w:lang w:val="en-US" w:eastAsia="zh-CN"/>
        </w:rPr>
        <w:t xml:space="preserve"> </w:t>
      </w:r>
    </w:p>
    <w:tbl>
      <w:tblPr>
        <w:tblStyle w:val="13"/>
        <w:tblW w:w="137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1"/>
        <w:gridCol w:w="1905"/>
        <w:gridCol w:w="1545"/>
        <w:gridCol w:w="1935"/>
        <w:gridCol w:w="2025"/>
        <w:gridCol w:w="3900"/>
        <w:gridCol w:w="1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Header/>
        </w:trPr>
        <w:tc>
          <w:tcPr>
            <w:tcW w:w="681" w:type="dxa"/>
            <w:shd w:val="clear" w:color="auto" w:fill="auto"/>
            <w:tcMar>
              <w:top w:w="15" w:type="dxa"/>
              <w:left w:w="15" w:type="dxa"/>
              <w:right w:w="15" w:type="dxa"/>
            </w:tcMar>
            <w:vAlign w:val="center"/>
          </w:tcPr>
          <w:p>
            <w:pPr>
              <w:widowControl/>
              <w:tabs>
                <w:tab w:val="left" w:pos="0"/>
              </w:tabs>
              <w:spacing w:line="0" w:lineRule="atLeast"/>
              <w:jc w:val="center"/>
              <w:textAlignment w:val="center"/>
              <w:rPr>
                <w:rFonts w:hint="eastAsia" w:ascii="方正黑体_GBK" w:hAnsi="方正黑体_GBK" w:eastAsia="方正黑体_GBK" w:cs="方正黑体_GBK"/>
                <w:szCs w:val="21"/>
              </w:rPr>
            </w:pPr>
            <w:r>
              <w:rPr>
                <w:rFonts w:hint="eastAsia" w:ascii="方正黑体_GBK" w:hAnsi="方正黑体_GBK" w:eastAsia="方正黑体_GBK" w:cs="方正黑体_GBK"/>
                <w:kern w:val="0"/>
                <w:szCs w:val="21"/>
              </w:rPr>
              <w:t>序号</w:t>
            </w:r>
          </w:p>
        </w:tc>
        <w:tc>
          <w:tcPr>
            <w:tcW w:w="1905" w:type="dxa"/>
            <w:shd w:val="clear" w:color="auto" w:fill="auto"/>
            <w:tcMar>
              <w:top w:w="15" w:type="dxa"/>
              <w:left w:w="15" w:type="dxa"/>
              <w:right w:w="15" w:type="dxa"/>
            </w:tcMar>
            <w:vAlign w:val="center"/>
          </w:tcPr>
          <w:p>
            <w:pPr>
              <w:widowControl/>
              <w:spacing w:line="0" w:lineRule="atLeast"/>
              <w:jc w:val="center"/>
              <w:textAlignment w:val="center"/>
              <w:rPr>
                <w:rFonts w:hint="eastAsia" w:ascii="方正黑体_GBK" w:hAnsi="方正黑体_GBK" w:eastAsia="方正黑体_GBK" w:cs="方正黑体_GBK"/>
                <w:szCs w:val="21"/>
              </w:rPr>
            </w:pPr>
            <w:r>
              <w:rPr>
                <w:rFonts w:hint="eastAsia" w:ascii="方正黑体_GBK" w:hAnsi="方正黑体_GBK" w:eastAsia="方正黑体_GBK" w:cs="方正黑体_GBK"/>
                <w:kern w:val="0"/>
                <w:szCs w:val="21"/>
              </w:rPr>
              <w:t>事项名称</w:t>
            </w:r>
          </w:p>
        </w:tc>
        <w:tc>
          <w:tcPr>
            <w:tcW w:w="1545" w:type="dxa"/>
            <w:shd w:val="clear" w:color="auto" w:fill="auto"/>
            <w:tcMar>
              <w:top w:w="15" w:type="dxa"/>
              <w:left w:w="15" w:type="dxa"/>
              <w:right w:w="15" w:type="dxa"/>
            </w:tcMar>
            <w:vAlign w:val="center"/>
          </w:tcPr>
          <w:p>
            <w:pPr>
              <w:widowControl/>
              <w:spacing w:line="0" w:lineRule="atLeast"/>
              <w:jc w:val="center"/>
              <w:textAlignment w:val="center"/>
              <w:rPr>
                <w:rFonts w:hint="eastAsia" w:ascii="方正黑体_GBK" w:hAnsi="方正黑体_GBK" w:eastAsia="方正黑体_GBK" w:cs="方正黑体_GBK"/>
                <w:szCs w:val="21"/>
              </w:rPr>
            </w:pPr>
            <w:r>
              <w:rPr>
                <w:rFonts w:hint="eastAsia" w:ascii="方正黑体_GBK" w:hAnsi="方正黑体_GBK" w:eastAsia="方正黑体_GBK" w:cs="方正黑体_GBK"/>
                <w:kern w:val="0"/>
                <w:szCs w:val="21"/>
              </w:rPr>
              <w:t>主管部门</w:t>
            </w:r>
          </w:p>
        </w:tc>
        <w:tc>
          <w:tcPr>
            <w:tcW w:w="1935" w:type="dxa"/>
            <w:shd w:val="clear" w:color="auto" w:fill="auto"/>
            <w:tcMar>
              <w:top w:w="15" w:type="dxa"/>
              <w:left w:w="15" w:type="dxa"/>
              <w:right w:w="15" w:type="dxa"/>
            </w:tcMar>
            <w:vAlign w:val="center"/>
          </w:tcPr>
          <w:p>
            <w:pPr>
              <w:widowControl/>
              <w:spacing w:line="0" w:lineRule="atLeast"/>
              <w:jc w:val="center"/>
              <w:textAlignment w:val="center"/>
              <w:rPr>
                <w:rFonts w:hint="eastAsia" w:ascii="方正黑体_GBK" w:hAnsi="方正黑体_GBK" w:eastAsia="方正黑体_GBK" w:cs="方正黑体_GBK"/>
                <w:kern w:val="0"/>
                <w:szCs w:val="21"/>
              </w:rPr>
            </w:pPr>
            <w:r>
              <w:rPr>
                <w:rFonts w:hint="eastAsia" w:ascii="方正黑体_GBK" w:hAnsi="方正黑体_GBK" w:eastAsia="方正黑体_GBK" w:cs="方正黑体_GBK"/>
                <w:kern w:val="0"/>
                <w:szCs w:val="21"/>
              </w:rPr>
              <w:t>乐山市实施机关</w:t>
            </w:r>
          </w:p>
        </w:tc>
        <w:tc>
          <w:tcPr>
            <w:tcW w:w="2025" w:type="dxa"/>
            <w:shd w:val="clear" w:color="auto" w:fill="auto"/>
            <w:tcMar>
              <w:top w:w="15" w:type="dxa"/>
              <w:left w:w="15" w:type="dxa"/>
              <w:right w:w="15" w:type="dxa"/>
            </w:tcMar>
            <w:vAlign w:val="center"/>
          </w:tcPr>
          <w:p>
            <w:pPr>
              <w:widowControl/>
              <w:spacing w:line="0" w:lineRule="atLeast"/>
              <w:jc w:val="center"/>
              <w:textAlignment w:val="center"/>
              <w:rPr>
                <w:rFonts w:hint="eastAsia" w:ascii="方正黑体_GBK" w:hAnsi="方正黑体_GBK" w:eastAsia="方正黑体_GBK" w:cs="方正黑体_GBK"/>
                <w:szCs w:val="21"/>
              </w:rPr>
            </w:pPr>
            <w:r>
              <w:rPr>
                <w:rFonts w:hint="eastAsia" w:ascii="方正黑体_GBK" w:hAnsi="方正黑体_GBK" w:eastAsia="方正黑体_GBK" w:cs="方正黑体_GBK"/>
                <w:kern w:val="0"/>
                <w:szCs w:val="21"/>
              </w:rPr>
              <w:t>设定依据</w:t>
            </w:r>
          </w:p>
        </w:tc>
        <w:tc>
          <w:tcPr>
            <w:tcW w:w="3900" w:type="dxa"/>
            <w:shd w:val="clear" w:color="auto" w:fill="auto"/>
            <w:tcMar>
              <w:top w:w="15" w:type="dxa"/>
              <w:left w:w="15" w:type="dxa"/>
              <w:right w:w="15" w:type="dxa"/>
            </w:tcMar>
            <w:vAlign w:val="center"/>
          </w:tcPr>
          <w:p>
            <w:pPr>
              <w:widowControl/>
              <w:spacing w:line="0" w:lineRule="atLeast"/>
              <w:jc w:val="center"/>
              <w:textAlignment w:val="center"/>
              <w:rPr>
                <w:rFonts w:hint="eastAsia" w:ascii="方正黑体_GBK" w:hAnsi="方正黑体_GBK" w:eastAsia="方正黑体_GBK" w:cs="方正黑体_GBK"/>
                <w:szCs w:val="21"/>
              </w:rPr>
            </w:pPr>
            <w:r>
              <w:rPr>
                <w:rFonts w:hint="eastAsia" w:ascii="方正黑体_GBK" w:hAnsi="方正黑体_GBK" w:eastAsia="方正黑体_GBK" w:cs="方正黑体_GBK"/>
                <w:kern w:val="0"/>
                <w:szCs w:val="21"/>
              </w:rPr>
              <w:t>实施依据</w:t>
            </w:r>
          </w:p>
        </w:tc>
        <w:tc>
          <w:tcPr>
            <w:tcW w:w="1791" w:type="dxa"/>
            <w:shd w:val="clear" w:color="auto" w:fill="auto"/>
            <w:tcMar>
              <w:top w:w="15" w:type="dxa"/>
              <w:left w:w="15" w:type="dxa"/>
              <w:right w:w="15" w:type="dxa"/>
            </w:tcMar>
            <w:vAlign w:val="center"/>
          </w:tcPr>
          <w:p>
            <w:pPr>
              <w:widowControl/>
              <w:spacing w:line="0" w:lineRule="atLeast"/>
              <w:jc w:val="center"/>
              <w:textAlignment w:val="center"/>
              <w:rPr>
                <w:rFonts w:hint="eastAsia" w:ascii="方正黑体_GBK" w:hAnsi="方正黑体_GBK" w:eastAsia="方正黑体_GBK" w:cs="方正黑体_GBK"/>
                <w:szCs w:val="21"/>
              </w:rPr>
            </w:pPr>
            <w:r>
              <w:rPr>
                <w:rFonts w:hint="eastAsia" w:ascii="方正黑体_GBK" w:hAnsi="方正黑体_GBK" w:eastAsia="方正黑体_GBK" w:cs="方正黑体_GBK"/>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restart"/>
            <w:shd w:val="clear" w:color="auto" w:fill="auto"/>
            <w:tcMar>
              <w:top w:w="15" w:type="dxa"/>
              <w:left w:w="15" w:type="dxa"/>
              <w:right w:w="15" w:type="dxa"/>
            </w:tcMar>
            <w:vAlign w:val="center"/>
          </w:tcPr>
          <w:p>
            <w:pPr>
              <w:numPr>
                <w:ilvl w:val="0"/>
                <w:numId w:val="1"/>
              </w:numPr>
              <w:tabs>
                <w:tab w:val="left" w:pos="0"/>
                <w:tab w:val="left" w:pos="397"/>
                <w:tab w:val="left" w:pos="420"/>
              </w:tabs>
              <w:spacing w:line="0" w:lineRule="atLeast"/>
              <w:jc w:val="center"/>
              <w:rPr>
                <w:rFonts w:hint="eastAsia" w:ascii="仿宋_GB2312" w:hAnsi="仿宋_GB2312" w:eastAsia="仿宋_GB2312" w:cs="仿宋_GB2312"/>
                <w:color w:val="auto"/>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color w:val="auto"/>
                <w:szCs w:val="21"/>
              </w:rPr>
            </w:pPr>
            <w:r>
              <w:rPr>
                <w:rFonts w:hint="eastAsia" w:ascii="仿宋_GB2312" w:hAnsi="仿宋_GB2312" w:eastAsia="仿宋_GB2312" w:cs="仿宋_GB2312"/>
                <w:color w:val="auto"/>
                <w:kern w:val="0"/>
                <w:szCs w:val="21"/>
              </w:rPr>
              <w:t>民用枪支及枪支主要零部件、弹药配置许可</w:t>
            </w:r>
            <w:r>
              <w:rPr>
                <w:rFonts w:hint="eastAsia" w:ascii="仿宋_GB2312" w:hAnsi="仿宋_GB2312" w:eastAsia="仿宋_GB2312" w:cs="仿宋_GB2312"/>
                <w:color w:val="auto"/>
                <w:spacing w:val="-6"/>
                <w:kern w:val="0"/>
                <w:szCs w:val="21"/>
              </w:rPr>
              <w:t>（省清单第43项）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color w:val="auto"/>
                <w:szCs w:val="21"/>
              </w:rPr>
            </w:pPr>
            <w:r>
              <w:rPr>
                <w:rFonts w:hint="eastAsia" w:ascii="仿宋_GB2312" w:hAnsi="仿宋_GB2312" w:eastAsia="仿宋_GB2312" w:cs="仿宋_GB2312"/>
                <w:color w:val="auto"/>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rPr>
              <w:t>县级公安机关</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color w:val="auto"/>
                <w:szCs w:val="21"/>
              </w:rPr>
            </w:pPr>
            <w:r>
              <w:rPr>
                <w:rFonts w:hint="eastAsia" w:ascii="仿宋_GB2312" w:hAnsi="仿宋_GB2312" w:eastAsia="仿宋_GB2312" w:cs="仿宋_GB2312"/>
                <w:color w:val="auto"/>
                <w:kern w:val="0"/>
                <w:szCs w:val="21"/>
              </w:rPr>
              <w:t>《中华人民共和国枪支管理法》</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color w:val="auto"/>
                <w:szCs w:val="21"/>
              </w:rPr>
            </w:pPr>
            <w:r>
              <w:rPr>
                <w:rFonts w:hint="eastAsia" w:ascii="仿宋_GB2312" w:hAnsi="仿宋_GB2312" w:eastAsia="仿宋_GB2312" w:cs="仿宋_GB2312"/>
                <w:color w:val="auto"/>
                <w:kern w:val="0"/>
                <w:szCs w:val="21"/>
              </w:rPr>
              <w:t>《中华人民共和国枪支管理法》</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color w:val="auto"/>
                <w:szCs w:val="21"/>
              </w:rPr>
            </w:pPr>
          </w:p>
        </w:tc>
        <w:tc>
          <w:tcPr>
            <w:tcW w:w="1905" w:type="dxa"/>
            <w:vMerge w:val="continue"/>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color w:val="auto"/>
                <w:szCs w:val="21"/>
              </w:rPr>
            </w:pPr>
          </w:p>
        </w:tc>
        <w:tc>
          <w:tcPr>
            <w:tcW w:w="1545"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color w:val="auto"/>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color w:val="auto"/>
                <w:szCs w:val="21"/>
              </w:rPr>
            </w:pPr>
          </w:p>
        </w:tc>
        <w:tc>
          <w:tcPr>
            <w:tcW w:w="202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color w:val="auto"/>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《射击运动枪支配置办法》（公通字〔2000〕1号）</w:t>
            </w:r>
          </w:p>
        </w:tc>
        <w:tc>
          <w:tcPr>
            <w:tcW w:w="1791" w:type="dxa"/>
            <w:vMerge w:val="continue"/>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color w:val="auto"/>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color w:val="auto"/>
                <w:szCs w:val="21"/>
              </w:rPr>
            </w:pPr>
          </w:p>
        </w:tc>
        <w:tc>
          <w:tcPr>
            <w:tcW w:w="193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color w:val="auto"/>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color w:val="auto"/>
                <w:szCs w:val="21"/>
              </w:rPr>
            </w:pPr>
          </w:p>
        </w:tc>
        <w:tc>
          <w:tcPr>
            <w:tcW w:w="3900" w:type="dxa"/>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color w:val="auto"/>
                <w:szCs w:val="21"/>
              </w:rPr>
            </w:pPr>
            <w:r>
              <w:rPr>
                <w:rFonts w:hint="eastAsia" w:ascii="仿宋_GB2312" w:hAnsi="仿宋_GB2312" w:eastAsia="仿宋_GB2312" w:cs="仿宋_GB2312"/>
                <w:color w:val="auto"/>
                <w:kern w:val="0"/>
                <w:szCs w:val="21"/>
              </w:rPr>
              <w:t>《射击竞技体育运动枪支管理办法》</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restart"/>
            <w:shd w:val="clear" w:color="auto" w:fill="auto"/>
            <w:tcMar>
              <w:top w:w="15" w:type="dxa"/>
              <w:left w:w="15" w:type="dxa"/>
              <w:right w:w="15" w:type="dxa"/>
            </w:tcMar>
            <w:vAlign w:val="center"/>
          </w:tcPr>
          <w:p>
            <w:pPr>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民用枪支持枪许可</w:t>
            </w:r>
            <w:r>
              <w:rPr>
                <w:rFonts w:hint="eastAsia" w:ascii="仿宋_GB2312" w:hAnsi="仿宋_GB2312" w:eastAsia="仿宋_GB2312" w:cs="仿宋_GB2312"/>
                <w:spacing w:val="-6"/>
                <w:kern w:val="0"/>
                <w:szCs w:val="21"/>
              </w:rPr>
              <w:t>（省清单第44项）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市公安局</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《中华人民共和国枪支管理法》</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《中华人民共和国枪支管理法》</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《射击竞技体育运动枪支管理办法》</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《公安部关于认真做好民用枪支配售配购使用管理工作的通知》（公治〔2001〕14号）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《公安部治安管理局关于办理民用枪持枪证工作有关事项的通知》（公治〔1999〕1802号）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81" w:type="dxa"/>
            <w:vMerge w:val="restart"/>
            <w:shd w:val="clear" w:color="auto" w:fill="auto"/>
            <w:tcMar>
              <w:top w:w="15" w:type="dxa"/>
              <w:left w:w="15" w:type="dxa"/>
              <w:right w:w="15" w:type="dxa"/>
            </w:tcMar>
            <w:vAlign w:val="center"/>
          </w:tcPr>
          <w:p>
            <w:pPr>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6"/>
                <w:kern w:val="0"/>
                <w:szCs w:val="21"/>
              </w:rPr>
              <w:t>枪支及枪支主要零部件、弹药运输许可</w:t>
            </w:r>
            <w:r>
              <w:rPr>
                <w:rFonts w:hint="eastAsia" w:ascii="仿宋_GB2312" w:hAnsi="仿宋_GB2312" w:eastAsia="仿宋_GB2312" w:cs="仿宋_GB2312"/>
                <w:spacing w:val="-6"/>
                <w:kern w:val="0"/>
                <w:szCs w:val="21"/>
              </w:rPr>
              <w:t>（省清单第46项）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市公安局</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《中华人民共和国枪支管理法》</w:t>
            </w: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《中华人民共和国枪支管理法》</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《射击竞技体育运动枪支管理办法》</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Style w:val="21"/>
                <w:rFonts w:hint="default" w:ascii="仿宋_GB2312" w:hAnsi="仿宋_GB2312" w:eastAsia="仿宋_GB2312" w:cs="仿宋_GB2312"/>
                <w:color w:val="auto"/>
                <w:sz w:val="21"/>
                <w:szCs w:val="21"/>
              </w:rPr>
              <w:t>《公安部治安管理局关于转发总参办公厅、总政办公厅〈关于执行《中华人民共和国枪支管理法》几个问题的通知〉的通知》（公治〔1996〕881号）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《公安部关于规范民用枪支配售调拨管理等有关事项的通知》（公治〔1999〕744号）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Style w:val="21"/>
                <w:rFonts w:hint="default" w:ascii="仿宋_GB2312" w:hAnsi="仿宋_GB2312" w:eastAsia="仿宋_GB2312" w:cs="仿宋_GB2312"/>
                <w:color w:val="auto"/>
                <w:sz w:val="21"/>
                <w:szCs w:val="21"/>
              </w:rPr>
              <w:t>《公安部治安局关于办理枪支运输许可证有关问题的批复》（公治〔2011〕750号）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81" w:type="dxa"/>
            <w:vMerge w:val="restart"/>
            <w:shd w:val="clear" w:color="auto" w:fill="auto"/>
            <w:tcMar>
              <w:top w:w="15" w:type="dxa"/>
              <w:left w:w="15" w:type="dxa"/>
              <w:right w:w="15" w:type="dxa"/>
            </w:tcMar>
            <w:vAlign w:val="center"/>
          </w:tcPr>
          <w:p>
            <w:pPr>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6"/>
                <w:kern w:val="0"/>
                <w:szCs w:val="21"/>
              </w:rPr>
              <w:t>射击竞技体育运动枪支及枪支主要零部件、弹药携运许可</w:t>
            </w:r>
            <w:r>
              <w:rPr>
                <w:rFonts w:hint="eastAsia" w:ascii="仿宋_GB2312" w:hAnsi="仿宋_GB2312" w:eastAsia="仿宋_GB2312" w:cs="仿宋_GB2312"/>
                <w:spacing w:val="-6"/>
                <w:kern w:val="0"/>
                <w:szCs w:val="21"/>
              </w:rPr>
              <w:t>（省清单第47项）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市公安局</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《中华人民共和国枪支管理法》</w:t>
            </w: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《中华人民共和国枪支管理法》</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《射击竞技体育运动枪支管理办法》</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《公安部关于运动员携带射击运动枪支外出训练比赛办理有关手续的复函》（公治</w:t>
            </w:r>
            <w:r>
              <w:rPr>
                <w:rStyle w:val="21"/>
                <w:rFonts w:hint="default" w:ascii="仿宋_GB2312" w:hAnsi="仿宋_GB2312" w:eastAsia="仿宋_GB2312" w:cs="仿宋_GB2312"/>
                <w:color w:val="auto"/>
                <w:sz w:val="21"/>
                <w:szCs w:val="21"/>
              </w:rPr>
              <w:t>〔1998〕</w:t>
            </w:r>
            <w:r>
              <w:rPr>
                <w:rFonts w:hint="eastAsia" w:ascii="仿宋_GB2312" w:hAnsi="仿宋_GB2312" w:eastAsia="仿宋_GB2312" w:cs="仿宋_GB2312"/>
                <w:kern w:val="0"/>
                <w:szCs w:val="21"/>
              </w:rPr>
              <w:t>868号）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81" w:type="dxa"/>
            <w:vMerge w:val="restart"/>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举行集会游行示威许可</w:t>
            </w:r>
            <w:r>
              <w:rPr>
                <w:rFonts w:hint="eastAsia" w:ascii="仿宋_GB2312" w:hAnsi="仿宋_GB2312" w:eastAsia="仿宋_GB2312" w:cs="仿宋_GB2312"/>
                <w:spacing w:val="-6"/>
                <w:kern w:val="0"/>
                <w:szCs w:val="21"/>
              </w:rPr>
              <w:t>（省清单第50项）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kern w:val="0"/>
                <w:szCs w:val="21"/>
              </w:rPr>
            </w:pPr>
            <w:r>
              <w:rPr>
                <w:rFonts w:hint="eastAsia" w:ascii="仿宋_GB2312" w:hAnsi="仿宋_GB2312" w:eastAsia="仿宋_GB2312" w:cs="仿宋_GB2312"/>
              </w:rPr>
              <w:t>市公安局、县级公安机关</w:t>
            </w: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11"/>
                <w:kern w:val="0"/>
                <w:szCs w:val="21"/>
              </w:rPr>
              <w:t>《中华人民共和国集会游行示威法》</w:t>
            </w: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《中华人民共和国集会游行示威法》</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《中华人民共和国集会游行示威法实施条例》</w:t>
            </w: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《中华人民共和国集会游行示威法实施条例》</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81" w:type="dxa"/>
            <w:vMerge w:val="restart"/>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大型群众性活动安全许可</w:t>
            </w:r>
            <w:r>
              <w:rPr>
                <w:rFonts w:hint="eastAsia" w:ascii="仿宋_GB2312" w:hAnsi="仿宋_GB2312" w:eastAsia="仿宋_GB2312" w:cs="仿宋_GB2312"/>
                <w:spacing w:val="-6"/>
                <w:kern w:val="0"/>
                <w:szCs w:val="21"/>
              </w:rPr>
              <w:t>（省清单第51项）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市公安局、县级公安机关</w:t>
            </w: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《中华人民共和国消防法》</w:t>
            </w: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《大型群众性活动安全管理条例》</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kern w:val="0"/>
                <w:szCs w:val="21"/>
              </w:rPr>
            </w:pP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11"/>
                <w:kern w:val="0"/>
                <w:szCs w:val="21"/>
              </w:rPr>
              <w:t>《大型群众性活动安全管理条例》</w:t>
            </w: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《营业性演出管理条例》</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81" w:type="dxa"/>
            <w:vMerge w:val="restart"/>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6"/>
                <w:kern w:val="0"/>
                <w:szCs w:val="21"/>
              </w:rPr>
              <w:t>旅馆业特种行业许可</w:t>
            </w:r>
            <w:r>
              <w:rPr>
                <w:rFonts w:hint="eastAsia" w:ascii="仿宋_GB2312" w:hAnsi="仿宋_GB2312" w:eastAsia="仿宋_GB2312" w:cs="仿宋_GB2312"/>
                <w:spacing w:val="-6"/>
                <w:kern w:val="0"/>
                <w:szCs w:val="21"/>
              </w:rPr>
              <w:t>（省清单第52项）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县级公安机关</w:t>
            </w: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《旅馆业治安管理办法》</w:t>
            </w: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《国务院关于深化“证照分离”改革进一步激发市场主体发展活力的通知》（国发〔2021〕7号）</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《国务院对确需保留的行政审批项目设定行政许可的决定》</w:t>
            </w: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《公安部关于深化娱乐服务场所和特种行业治安管理改革进一步依法加强事中事后监管的工作意见》（公治〔2017〕529号）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《四川省旅馆业治安管理办法》</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restart"/>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保安服务公司设立及法定代表人变更许可</w:t>
            </w:r>
            <w:r>
              <w:rPr>
                <w:rFonts w:hint="eastAsia" w:ascii="仿宋_GB2312" w:hAnsi="仿宋_GB2312" w:eastAsia="仿宋_GB2312" w:cs="仿宋_GB2312"/>
                <w:spacing w:val="-6"/>
                <w:kern w:val="0"/>
                <w:szCs w:val="21"/>
              </w:rPr>
              <w:t>（省清单第53项）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市公安局（初审）</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《保安服务管理条例》</w:t>
            </w: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《保安服务管理条例》</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《保安守护押运公司管理规定》（公通字〔2017〕13号）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restart"/>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保安员证核发</w:t>
            </w:r>
            <w:r>
              <w:rPr>
                <w:rFonts w:hint="eastAsia" w:ascii="仿宋_GB2312" w:hAnsi="仿宋_GB2312" w:eastAsia="仿宋_GB2312" w:cs="仿宋_GB2312"/>
                <w:spacing w:val="-6"/>
                <w:kern w:val="0"/>
                <w:szCs w:val="21"/>
              </w:rPr>
              <w:t>（省清单第54项）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市公安局</w:t>
            </w: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《保安服务管理条例》</w:t>
            </w:r>
          </w:p>
        </w:tc>
        <w:tc>
          <w:tcPr>
            <w:tcW w:w="3900"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《保安服务管理条例》</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kern w:val="0"/>
                <w:szCs w:val="21"/>
              </w:rPr>
            </w:pP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11"/>
                <w:kern w:val="0"/>
                <w:szCs w:val="21"/>
              </w:rPr>
              <w:t>《国家职业资格目录（2021年版）》</w:t>
            </w:r>
          </w:p>
        </w:tc>
        <w:tc>
          <w:tcPr>
            <w:tcW w:w="3900"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restart"/>
            <w:shd w:val="clear" w:color="auto" w:fill="auto"/>
            <w:tcMar>
              <w:top w:w="15" w:type="dxa"/>
              <w:left w:w="15" w:type="dxa"/>
              <w:right w:w="15" w:type="dxa"/>
            </w:tcMar>
            <w:vAlign w:val="center"/>
          </w:tcPr>
          <w:p>
            <w:pPr>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举办焰火晚会及其他大型焰火燃放活动许可</w:t>
            </w:r>
            <w:r>
              <w:rPr>
                <w:rFonts w:hint="eastAsia" w:ascii="仿宋_GB2312" w:hAnsi="仿宋_GB2312" w:eastAsia="仿宋_GB2312" w:cs="仿宋_GB2312"/>
                <w:spacing w:val="-6"/>
                <w:kern w:val="0"/>
                <w:szCs w:val="21"/>
              </w:rPr>
              <w:t>（省清单第56项）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市公安局、县级公安机关</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《烟花爆竹安全管理条例》</w:t>
            </w: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《烟花爆竹安全管理条例》</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6"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《公安部办公厅关于贯彻执行〈大型焰火燃放作业人员资格条件及管理〉和〈大型焰火燃放作业单位资质条件及管理〉有关事项的通知》（公治〔2010〕592号）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restart"/>
            <w:shd w:val="clear" w:color="auto" w:fill="auto"/>
            <w:tcMar>
              <w:top w:w="15" w:type="dxa"/>
              <w:left w:w="15" w:type="dxa"/>
              <w:right w:w="15" w:type="dxa"/>
            </w:tcMar>
            <w:vAlign w:val="center"/>
          </w:tcPr>
          <w:p>
            <w:pPr>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烟花爆竹道路运输许可</w:t>
            </w:r>
            <w:r>
              <w:rPr>
                <w:rFonts w:hint="eastAsia" w:ascii="仿宋_GB2312" w:hAnsi="仿宋_GB2312" w:eastAsia="仿宋_GB2312" w:cs="仿宋_GB2312"/>
                <w:spacing w:val="-6"/>
                <w:kern w:val="0"/>
                <w:szCs w:val="21"/>
              </w:rPr>
              <w:t>（省清单第57项）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县级公安机关（运达地或者启运地）</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《烟花爆竹安全管理条例》</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《烟花爆竹安全管理条例》</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《关于优化烟花爆竹道路运输许可审批进一步深化烟花爆竹“放管服”改革工作的通知》（公治安明发〔2019〕218号）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1" w:hRule="atLeast"/>
        </w:trPr>
        <w:tc>
          <w:tcPr>
            <w:tcW w:w="681" w:type="dxa"/>
            <w:shd w:val="clear" w:color="auto" w:fill="auto"/>
            <w:tcMar>
              <w:top w:w="15" w:type="dxa"/>
              <w:left w:w="15" w:type="dxa"/>
              <w:right w:w="15" w:type="dxa"/>
            </w:tcMar>
            <w:vAlign w:val="center"/>
          </w:tcPr>
          <w:p>
            <w:pPr>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民用爆炸物品购买许可</w:t>
            </w:r>
            <w:r>
              <w:rPr>
                <w:rFonts w:hint="eastAsia" w:ascii="仿宋_GB2312" w:hAnsi="仿宋_GB2312" w:eastAsia="仿宋_GB2312" w:cs="仿宋_GB2312"/>
                <w:spacing w:val="-6"/>
                <w:kern w:val="0"/>
                <w:szCs w:val="21"/>
              </w:rPr>
              <w:t>（省清</w:t>
            </w:r>
            <w:bookmarkStart w:id="0" w:name="_GoBack"/>
            <w:bookmarkEnd w:id="0"/>
            <w:r>
              <w:rPr>
                <w:rFonts w:hint="eastAsia" w:ascii="仿宋_GB2312" w:hAnsi="仿宋_GB2312" w:eastAsia="仿宋_GB2312" w:cs="仿宋_GB2312"/>
                <w:spacing w:val="-6"/>
                <w:kern w:val="0"/>
                <w:szCs w:val="21"/>
              </w:rPr>
              <w:t>单第58项）</w:t>
            </w:r>
          </w:p>
        </w:tc>
        <w:tc>
          <w:tcPr>
            <w:tcW w:w="1545" w:type="dxa"/>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县级公安机关</w:t>
            </w: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《民用爆炸物品安全管理条例》</w:t>
            </w: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《民用爆炸物品安全管理条例》</w:t>
            </w:r>
          </w:p>
        </w:tc>
        <w:tc>
          <w:tcPr>
            <w:tcW w:w="1791" w:type="dxa"/>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9" w:hRule="atLeast"/>
        </w:trPr>
        <w:tc>
          <w:tcPr>
            <w:tcW w:w="681" w:type="dxa"/>
            <w:shd w:val="clear" w:color="auto" w:fill="auto"/>
            <w:tcMar>
              <w:top w:w="15" w:type="dxa"/>
              <w:left w:w="15" w:type="dxa"/>
              <w:right w:w="15" w:type="dxa"/>
            </w:tcMar>
            <w:vAlign w:val="center"/>
          </w:tcPr>
          <w:p>
            <w:pPr>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民用爆炸物品运输许可</w:t>
            </w:r>
            <w:r>
              <w:rPr>
                <w:rFonts w:hint="eastAsia" w:ascii="仿宋_GB2312" w:hAnsi="仿宋_GB2312" w:eastAsia="仿宋_GB2312" w:cs="仿宋_GB2312"/>
                <w:spacing w:val="-6"/>
                <w:kern w:val="0"/>
                <w:szCs w:val="21"/>
              </w:rPr>
              <w:t>（省清单第59项）</w:t>
            </w:r>
          </w:p>
        </w:tc>
        <w:tc>
          <w:tcPr>
            <w:tcW w:w="1545" w:type="dxa"/>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县级公安机关（运达地）</w:t>
            </w: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《民用爆炸物品安全管理条例》</w:t>
            </w: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《民用爆炸物品安全管理条例》</w:t>
            </w:r>
          </w:p>
        </w:tc>
        <w:tc>
          <w:tcPr>
            <w:tcW w:w="1791" w:type="dxa"/>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restart"/>
            <w:shd w:val="clear" w:color="auto" w:fill="auto"/>
            <w:tcMar>
              <w:top w:w="15" w:type="dxa"/>
              <w:left w:w="15" w:type="dxa"/>
              <w:right w:w="15" w:type="dxa"/>
            </w:tcMar>
            <w:vAlign w:val="center"/>
          </w:tcPr>
          <w:p>
            <w:pPr>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爆破作业单位许可</w:t>
            </w:r>
            <w:r>
              <w:rPr>
                <w:rFonts w:hint="eastAsia" w:ascii="仿宋_GB2312" w:hAnsi="仿宋_GB2312" w:eastAsia="仿宋_GB2312" w:cs="仿宋_GB2312"/>
                <w:spacing w:val="-6"/>
                <w:kern w:val="0"/>
                <w:szCs w:val="21"/>
              </w:rPr>
              <w:t>（省清单第60项）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市公安局</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《民用爆炸物品安全管理条例》</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《民用爆炸物品安全管理条例》</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《爆破作业单位资质条件和管理要求》（GA990-2012）</w:t>
            </w:r>
          </w:p>
        </w:tc>
        <w:tc>
          <w:tcPr>
            <w:tcW w:w="1791" w:type="dxa"/>
            <w:vMerge w:val="continue"/>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restart"/>
            <w:shd w:val="clear" w:color="auto" w:fill="auto"/>
            <w:tcMar>
              <w:top w:w="15" w:type="dxa"/>
              <w:left w:w="15" w:type="dxa"/>
              <w:right w:w="15" w:type="dxa"/>
            </w:tcMar>
            <w:vAlign w:val="center"/>
          </w:tcPr>
          <w:p>
            <w:pPr>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爆破作业人员资格认定</w:t>
            </w:r>
            <w:r>
              <w:rPr>
                <w:rFonts w:hint="eastAsia" w:ascii="仿宋_GB2312" w:hAnsi="仿宋_GB2312" w:eastAsia="仿宋_GB2312" w:cs="仿宋_GB2312"/>
                <w:spacing w:val="-6"/>
                <w:kern w:val="0"/>
                <w:szCs w:val="21"/>
              </w:rPr>
              <w:t>（省清单第61项）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市公安局</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《民用爆炸物品安全管理条例》</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《民用爆炸物品安全管理条例》</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《爆破作业人员资格条件和管理要求》（GA53-2015）</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trPr>
        <w:tc>
          <w:tcPr>
            <w:tcW w:w="681" w:type="dxa"/>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11"/>
                <w:kern w:val="0"/>
                <w:szCs w:val="21"/>
              </w:rPr>
              <w:t>城市、风景名胜区和重要工程设施附近实施爆破作业审批</w:t>
            </w:r>
            <w:r>
              <w:rPr>
                <w:rFonts w:hint="eastAsia" w:ascii="仿宋_GB2312" w:hAnsi="仿宋_GB2312" w:eastAsia="仿宋_GB2312" w:cs="仿宋_GB2312"/>
                <w:spacing w:val="-6"/>
                <w:kern w:val="0"/>
                <w:szCs w:val="21"/>
              </w:rPr>
              <w:t>（省清单第62项）</w:t>
            </w:r>
          </w:p>
        </w:tc>
        <w:tc>
          <w:tcPr>
            <w:tcW w:w="1545" w:type="dxa"/>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市公安局</w:t>
            </w: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《民用爆炸物品安全管理条例》</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《民用爆炸物品安全管理条例》</w:t>
            </w:r>
          </w:p>
        </w:tc>
        <w:tc>
          <w:tcPr>
            <w:tcW w:w="1791" w:type="dxa"/>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trPr>
        <w:tc>
          <w:tcPr>
            <w:tcW w:w="681" w:type="dxa"/>
            <w:vMerge w:val="restart"/>
            <w:shd w:val="clear" w:color="auto" w:fill="auto"/>
            <w:tcMar>
              <w:top w:w="15" w:type="dxa"/>
              <w:left w:w="15" w:type="dxa"/>
              <w:right w:w="15" w:type="dxa"/>
            </w:tcMar>
            <w:vAlign w:val="center"/>
          </w:tcPr>
          <w:p>
            <w:pPr>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11"/>
                <w:kern w:val="0"/>
                <w:szCs w:val="21"/>
              </w:rPr>
              <w:t>剧毒化学品购买许可</w:t>
            </w:r>
            <w:r>
              <w:rPr>
                <w:rFonts w:hint="eastAsia" w:ascii="仿宋_GB2312" w:hAnsi="仿宋_GB2312" w:eastAsia="仿宋_GB2312" w:cs="仿宋_GB2312"/>
                <w:spacing w:val="-6"/>
                <w:kern w:val="0"/>
                <w:szCs w:val="21"/>
              </w:rPr>
              <w:t>（省清单第63项）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县级公安机关</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《危险化学品安全管理条例》</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《危险化学品安全管理条例》</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widowControl/>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widowControl/>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center"/>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widowControl/>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《剧毒化学品购买和公路运输许可证件管理办法》</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trPr>
        <w:tc>
          <w:tcPr>
            <w:tcW w:w="681" w:type="dxa"/>
            <w:vMerge w:val="restart"/>
            <w:shd w:val="clear" w:color="auto" w:fill="auto"/>
            <w:tcMar>
              <w:top w:w="15" w:type="dxa"/>
              <w:left w:w="15" w:type="dxa"/>
              <w:right w:w="15" w:type="dxa"/>
            </w:tcMar>
            <w:vAlign w:val="center"/>
          </w:tcPr>
          <w:p>
            <w:pPr>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剧毒化学品道路运输通行许可</w:t>
            </w:r>
            <w:r>
              <w:rPr>
                <w:rFonts w:hint="eastAsia" w:ascii="仿宋_GB2312" w:hAnsi="仿宋_GB2312" w:eastAsia="仿宋_GB2312" w:cs="仿宋_GB2312"/>
                <w:spacing w:val="-6"/>
                <w:kern w:val="0"/>
                <w:szCs w:val="21"/>
              </w:rPr>
              <w:t>（省清单第64项）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县级公安机关</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《危险化学品安全管理条例》</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《危险化学品安全管理条例》</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widowControl/>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widowControl/>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widowControl/>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《剧毒化学品购买和公路运输许可证件管理办法》</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trPr>
        <w:tc>
          <w:tcPr>
            <w:tcW w:w="681" w:type="dxa"/>
            <w:vMerge w:val="restart"/>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放射性物品道路运输许可</w:t>
            </w:r>
            <w:r>
              <w:rPr>
                <w:rFonts w:hint="eastAsia" w:ascii="仿宋_GB2312" w:hAnsi="仿宋_GB2312" w:eastAsia="仿宋_GB2312" w:cs="仿宋_GB2312"/>
                <w:spacing w:val="-6"/>
                <w:kern w:val="0"/>
                <w:szCs w:val="21"/>
              </w:rPr>
              <w:t>（省清单第65项）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市公安局、县级公安机关</w:t>
            </w: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《中华人民共和国核安全法》</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《中华人民共和国核安全法》</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trPr>
        <w:tc>
          <w:tcPr>
            <w:tcW w:w="681" w:type="dxa"/>
            <w:vMerge w:val="continue"/>
            <w:shd w:val="clear" w:color="auto" w:fill="auto"/>
            <w:tcMar>
              <w:top w:w="15" w:type="dxa"/>
              <w:left w:w="15" w:type="dxa"/>
              <w:right w:w="15" w:type="dxa"/>
            </w:tcMar>
            <w:vAlign w:val="center"/>
          </w:tcPr>
          <w:p>
            <w:pPr>
              <w:widowControl/>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widowControl/>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widowControl/>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kern w:val="0"/>
                <w:szCs w:val="21"/>
              </w:rPr>
            </w:pP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11"/>
                <w:kern w:val="0"/>
                <w:szCs w:val="21"/>
              </w:rPr>
              <w:t>《放射性物品运输安全管理条例》</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《放射性物品运输安全管理条例》</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trPr>
        <w:tc>
          <w:tcPr>
            <w:tcW w:w="681" w:type="dxa"/>
            <w:vMerge w:val="restart"/>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运输危险化学品的车辆进入危险化学品运输车辆限制通行区域审批</w:t>
            </w:r>
            <w:r>
              <w:rPr>
                <w:rFonts w:hint="eastAsia" w:ascii="仿宋_GB2312" w:hAnsi="仿宋_GB2312" w:eastAsia="仿宋_GB2312" w:cs="仿宋_GB2312"/>
                <w:spacing w:val="-6"/>
                <w:kern w:val="0"/>
                <w:szCs w:val="21"/>
              </w:rPr>
              <w:t>（省清单第66项）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市公安局、县级公安机关</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《危险化学品安全管理条例》</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《危险化学品安全管理条例》</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trPr>
        <w:tc>
          <w:tcPr>
            <w:tcW w:w="681" w:type="dxa"/>
            <w:vMerge w:val="continue"/>
            <w:shd w:val="clear" w:color="auto" w:fill="auto"/>
            <w:tcMar>
              <w:top w:w="15" w:type="dxa"/>
              <w:left w:w="15" w:type="dxa"/>
              <w:right w:w="15" w:type="dxa"/>
            </w:tcMar>
            <w:vAlign w:val="center"/>
          </w:tcPr>
          <w:p>
            <w:pPr>
              <w:widowControl/>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widowControl/>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widowControl/>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widowControl/>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6"/>
                <w:kern w:val="0"/>
                <w:szCs w:val="21"/>
              </w:rPr>
              <w:t>《四川省公安厅关于进一步规范危险化学品运输车辆进入限制通行区域管理工作的通知》（川公发〔2018〕95号）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trPr>
        <w:tc>
          <w:tcPr>
            <w:tcW w:w="681" w:type="dxa"/>
            <w:vMerge w:val="restart"/>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易制毒化学品购买许可（除第一类中的药品类易制毒化学品外）</w:t>
            </w:r>
            <w:r>
              <w:rPr>
                <w:rFonts w:hint="eastAsia" w:ascii="仿宋_GB2312" w:hAnsi="仿宋_GB2312" w:eastAsia="仿宋_GB2312" w:cs="仿宋_GB2312"/>
                <w:spacing w:val="-6"/>
                <w:kern w:val="0"/>
                <w:szCs w:val="21"/>
              </w:rPr>
              <w:t>（省清单第67项）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县级公安机关</w:t>
            </w: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《中华人民共和国禁毒法》</w:t>
            </w:r>
          </w:p>
        </w:tc>
        <w:tc>
          <w:tcPr>
            <w:tcW w:w="3900"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《易制毒化学品购销和运输管理办法》</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trPr>
        <w:tc>
          <w:tcPr>
            <w:tcW w:w="681" w:type="dxa"/>
            <w:vMerge w:val="continue"/>
            <w:shd w:val="clear" w:color="auto" w:fill="auto"/>
            <w:tcMar>
              <w:top w:w="15" w:type="dxa"/>
              <w:left w:w="15" w:type="dxa"/>
              <w:right w:w="15" w:type="dxa"/>
            </w:tcMar>
            <w:vAlign w:val="center"/>
          </w:tcPr>
          <w:p>
            <w:pPr>
              <w:widowControl/>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《易制毒化学品管理条例》</w:t>
            </w:r>
          </w:p>
        </w:tc>
        <w:tc>
          <w:tcPr>
            <w:tcW w:w="3900"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p>
        </w:tc>
        <w:tc>
          <w:tcPr>
            <w:tcW w:w="1791" w:type="dxa"/>
            <w:vMerge w:val="continue"/>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trPr>
        <w:tc>
          <w:tcPr>
            <w:tcW w:w="681" w:type="dxa"/>
            <w:vMerge w:val="restart"/>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易制毒化学品运输许可</w:t>
            </w:r>
            <w:r>
              <w:rPr>
                <w:rFonts w:hint="eastAsia" w:ascii="仿宋_GB2312" w:hAnsi="仿宋_GB2312" w:eastAsia="仿宋_GB2312" w:cs="仿宋_GB2312"/>
                <w:spacing w:val="-6"/>
                <w:kern w:val="0"/>
                <w:szCs w:val="21"/>
              </w:rPr>
              <w:t>（省清单第68项）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市公安局、县级公安机关</w:t>
            </w: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《中华人民共和国禁毒法》</w:t>
            </w:r>
          </w:p>
        </w:tc>
        <w:tc>
          <w:tcPr>
            <w:tcW w:w="3900"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《易制毒化学品购销和运输管理办法》</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681" w:type="dxa"/>
            <w:vMerge w:val="continue"/>
            <w:shd w:val="clear" w:color="auto" w:fill="auto"/>
            <w:tcMar>
              <w:top w:w="15" w:type="dxa"/>
              <w:left w:w="15" w:type="dxa"/>
              <w:right w:w="15" w:type="dxa"/>
            </w:tcMar>
            <w:vAlign w:val="center"/>
          </w:tcPr>
          <w:p>
            <w:pPr>
              <w:widowControl/>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《易制毒化学品管理条例》</w:t>
            </w:r>
          </w:p>
        </w:tc>
        <w:tc>
          <w:tcPr>
            <w:tcW w:w="3900"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restart"/>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6"/>
                <w:kern w:val="0"/>
                <w:szCs w:val="21"/>
              </w:rPr>
              <w:t>金融机构营业场所和金库安全防范设施建设方案审批（省清单第69项）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市公安局、县级公安机关</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《国务院对确需保留的行政审批项目设定行政许可的决定》</w:t>
            </w: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《金融机构营业场所和金库安全防范设施建设许可实施办法》</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continue"/>
            <w:shd w:val="clear" w:color="auto" w:fill="auto"/>
            <w:tcMar>
              <w:top w:w="15" w:type="dxa"/>
              <w:left w:w="15" w:type="dxa"/>
              <w:right w:w="15" w:type="dxa"/>
            </w:tcMar>
            <w:vAlign w:val="center"/>
          </w:tcPr>
          <w:p>
            <w:pPr>
              <w:widowControl/>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Style w:val="21"/>
                <w:rFonts w:hint="default" w:ascii="仿宋_GB2312" w:hAnsi="仿宋_GB2312" w:eastAsia="仿宋_GB2312" w:cs="仿宋_GB2312"/>
                <w:color w:val="auto"/>
                <w:sz w:val="21"/>
                <w:szCs w:val="21"/>
              </w:rPr>
              <w:t>《公安部办公厅关于深化治安管理“放管服”改革优化营商环境便民利民6项措施的补充通知》（公治</w:t>
            </w:r>
            <w:r>
              <w:rPr>
                <w:rStyle w:val="22"/>
                <w:rFonts w:hint="eastAsia" w:ascii="仿宋_GB2312" w:hAnsi="仿宋_GB2312" w:eastAsia="仿宋_GB2312" w:cs="仿宋_GB2312"/>
                <w:color w:val="auto"/>
                <w:sz w:val="21"/>
                <w:szCs w:val="21"/>
              </w:rPr>
              <w:t>〔</w:t>
            </w:r>
            <w:r>
              <w:rPr>
                <w:rStyle w:val="21"/>
                <w:rFonts w:hint="default" w:ascii="仿宋_GB2312" w:hAnsi="仿宋_GB2312" w:eastAsia="仿宋_GB2312" w:cs="仿宋_GB2312"/>
                <w:color w:val="auto"/>
                <w:sz w:val="21"/>
                <w:szCs w:val="21"/>
              </w:rPr>
              <w:t>2018</w:t>
            </w:r>
            <w:r>
              <w:rPr>
                <w:rStyle w:val="22"/>
                <w:rFonts w:hint="eastAsia" w:ascii="仿宋_GB2312" w:hAnsi="仿宋_GB2312" w:eastAsia="仿宋_GB2312" w:cs="仿宋_GB2312"/>
                <w:color w:val="auto"/>
                <w:sz w:val="21"/>
                <w:szCs w:val="21"/>
              </w:rPr>
              <w:t>〕</w:t>
            </w:r>
            <w:r>
              <w:rPr>
                <w:rStyle w:val="21"/>
                <w:rFonts w:hint="default" w:ascii="仿宋_GB2312" w:hAnsi="仿宋_GB2312" w:eastAsia="仿宋_GB2312" w:cs="仿宋_GB2312"/>
                <w:color w:val="auto"/>
                <w:sz w:val="21"/>
                <w:szCs w:val="21"/>
              </w:rPr>
              <w:t>711号）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continue"/>
            <w:shd w:val="clear" w:color="auto" w:fill="auto"/>
            <w:tcMar>
              <w:top w:w="15" w:type="dxa"/>
              <w:left w:w="15" w:type="dxa"/>
              <w:right w:w="15" w:type="dxa"/>
            </w:tcMar>
            <w:vAlign w:val="center"/>
          </w:tcPr>
          <w:p>
            <w:pPr>
              <w:widowControl/>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textAlignment w:val="center"/>
              <w:rPr>
                <w:rStyle w:val="21"/>
                <w:rFonts w:hint="default" w:ascii="仿宋_GB2312" w:hAnsi="仿宋_GB2312" w:eastAsia="仿宋_GB2312" w:cs="仿宋_GB2312"/>
                <w:color w:val="auto"/>
                <w:sz w:val="21"/>
                <w:szCs w:val="21"/>
              </w:rPr>
            </w:pPr>
            <w:r>
              <w:rPr>
                <w:rStyle w:val="21"/>
                <w:rFonts w:hint="default" w:ascii="仿宋_GB2312" w:hAnsi="仿宋_GB2312" w:eastAsia="仿宋_GB2312" w:cs="仿宋_GB2312"/>
                <w:color w:val="auto"/>
                <w:sz w:val="21"/>
                <w:szCs w:val="21"/>
              </w:rPr>
              <w:t>《四川省公安厅关于印发〈关于深化金融机构营业场所和金库安全防范设施建设方案审批及工程验收行政许可改革的实施方案〉的通知》（川公规〔2024〕1号）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continue"/>
            <w:shd w:val="clear" w:color="auto" w:fill="auto"/>
            <w:tcMar>
              <w:top w:w="15" w:type="dxa"/>
              <w:left w:w="15" w:type="dxa"/>
              <w:right w:w="15" w:type="dxa"/>
            </w:tcMar>
            <w:vAlign w:val="center"/>
          </w:tcPr>
          <w:p>
            <w:pPr>
              <w:widowControl/>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《四川省公安厅关于贯彻执行〈金融机构营业场所和金库安全防范设施建设许可实施办法〉的通知》（川公发〔2006〕63号）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restart"/>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6"/>
                <w:kern w:val="0"/>
                <w:szCs w:val="21"/>
              </w:rPr>
              <w:t>金融机构营业场所和金库安全防范设施建设工程验收（省清单第70项）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rPr>
              <w:t>市公安局、县级公安机关</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《国务院对确需保留的行政审批项目设定行政许可的决定》</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《金融机构营业场所和金库安全防范设施建设许可实施办法》</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continue"/>
            <w:shd w:val="clear" w:color="auto" w:fill="auto"/>
            <w:tcMar>
              <w:top w:w="15" w:type="dxa"/>
              <w:left w:w="15" w:type="dxa"/>
              <w:right w:w="15" w:type="dxa"/>
            </w:tcMar>
            <w:vAlign w:val="center"/>
          </w:tcPr>
          <w:p>
            <w:pPr>
              <w:widowControl/>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《公安部办公厅关于印发〈深化治安管理“放管服”改革优化营商环境便民利民6项措施〉的补充通知》（公治〔2018〕711号）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w:t>
            </w:r>
            <w:r>
              <w:rPr>
                <w:rStyle w:val="21"/>
                <w:rFonts w:hint="default" w:ascii="仿宋_GB2312" w:hAnsi="仿宋_GB2312" w:eastAsia="仿宋_GB2312" w:cs="仿宋_GB2312"/>
                <w:color w:val="auto"/>
                <w:sz w:val="21"/>
                <w:szCs w:val="21"/>
              </w:rPr>
              <w:t>四川省公安厅关于印发〈</w:t>
            </w:r>
            <w:r>
              <w:rPr>
                <w:rFonts w:hint="eastAsia" w:ascii="仿宋_GB2312" w:hAnsi="仿宋_GB2312" w:eastAsia="仿宋_GB2312" w:cs="仿宋_GB2312"/>
                <w:kern w:val="0"/>
                <w:szCs w:val="21"/>
              </w:rPr>
              <w:t>关于深化金融机构营业场所和金库安全防范设施建设方案审批及工程验收行政许可改革的实施方案〉的通知》（川公规〔2024〕1号）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《四川省公安厅关于贯彻执行〈金融机构营业场所和金库安全防范设施建设许可实施办法〉的通知》（川公发〔2006〕63号）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restart"/>
            <w:shd w:val="clear" w:color="auto" w:fill="auto"/>
            <w:tcMar>
              <w:top w:w="15" w:type="dxa"/>
              <w:left w:w="15" w:type="dxa"/>
              <w:right w:w="15" w:type="dxa"/>
            </w:tcMar>
            <w:vAlign w:val="center"/>
          </w:tcPr>
          <w:p>
            <w:pPr>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机动车登记</w:t>
            </w:r>
            <w:r>
              <w:rPr>
                <w:rFonts w:hint="eastAsia" w:ascii="仿宋_GB2312" w:hAnsi="仿宋_GB2312" w:eastAsia="仿宋_GB2312" w:cs="仿宋_GB2312"/>
                <w:spacing w:val="-6"/>
                <w:kern w:val="0"/>
                <w:szCs w:val="21"/>
              </w:rPr>
              <w:t>（省清单第72项）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kern w:val="0"/>
                <w:szCs w:val="21"/>
              </w:rPr>
            </w:pPr>
            <w:r>
              <w:rPr>
                <w:rFonts w:hint="eastAsia" w:ascii="仿宋_GB2312" w:hAnsi="仿宋_GB2312" w:eastAsia="仿宋_GB2312" w:cs="仿宋_GB2312"/>
              </w:rPr>
              <w:t>市公安局、县级公安机关</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szCs w:val="21"/>
              </w:rPr>
            </w:pPr>
            <w:r>
              <w:rPr>
                <w:rFonts w:hint="eastAsia" w:ascii="仿宋_GB2312" w:hAnsi="仿宋_GB2312" w:eastAsia="仿宋_GB2312" w:cs="仿宋_GB2312"/>
                <w:spacing w:val="-11"/>
                <w:kern w:val="0"/>
                <w:szCs w:val="21"/>
              </w:rPr>
              <w:t>《中华人民共和国道路交通安全法》</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《中华人民共和国道路交通安全法》</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pacing w:val="-11"/>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pacing w:val="-11"/>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《机动车登记规定》</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pacing w:val="-11"/>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pacing w:val="-11"/>
                <w:szCs w:val="21"/>
              </w:rPr>
            </w:pPr>
          </w:p>
        </w:tc>
        <w:tc>
          <w:tcPr>
            <w:tcW w:w="3900" w:type="dxa"/>
            <w:shd w:val="clear" w:color="auto" w:fill="auto"/>
            <w:tcMar>
              <w:top w:w="15" w:type="dxa"/>
              <w:left w:w="15" w:type="dxa"/>
              <w:right w:w="15" w:type="dxa"/>
            </w:tcMar>
            <w:vAlign w:val="center"/>
          </w:tcPr>
          <w:p>
            <w:pPr>
              <w:widowControl/>
              <w:spacing w:line="0" w:lineRule="atLeast"/>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《中华人民共和国道路交通安全法实施条例》</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szCs w:val="21"/>
              </w:rPr>
            </w:pPr>
          </w:p>
        </w:tc>
        <w:tc>
          <w:tcPr>
            <w:tcW w:w="202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《机动车登记工作规范》（公交管〔2022〕75号）</w:t>
            </w:r>
          </w:p>
        </w:tc>
        <w:tc>
          <w:tcPr>
            <w:tcW w:w="1791" w:type="dxa"/>
            <w:vMerge w:val="continue"/>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restart"/>
            <w:shd w:val="clear" w:color="auto" w:fill="auto"/>
            <w:tcMar>
              <w:top w:w="15" w:type="dxa"/>
              <w:left w:w="15" w:type="dxa"/>
              <w:right w:w="15" w:type="dxa"/>
            </w:tcMar>
            <w:vAlign w:val="center"/>
          </w:tcPr>
          <w:p>
            <w:pPr>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机动车临时通行牌证核发</w:t>
            </w:r>
            <w:r>
              <w:rPr>
                <w:rFonts w:hint="eastAsia" w:ascii="仿宋_GB2312" w:hAnsi="仿宋_GB2312" w:eastAsia="仿宋_GB2312" w:cs="仿宋_GB2312"/>
                <w:spacing w:val="-6"/>
                <w:kern w:val="0"/>
                <w:szCs w:val="21"/>
              </w:rPr>
              <w:t>（省清单第73项）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kern w:val="0"/>
                <w:szCs w:val="21"/>
              </w:rPr>
            </w:pPr>
            <w:r>
              <w:rPr>
                <w:rFonts w:hint="eastAsia" w:ascii="仿宋_GB2312" w:hAnsi="仿宋_GB2312" w:eastAsia="仿宋_GB2312" w:cs="仿宋_GB2312"/>
              </w:rPr>
              <w:t>市公安局、县级公安机关</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szCs w:val="21"/>
              </w:rPr>
            </w:pPr>
            <w:r>
              <w:rPr>
                <w:rFonts w:hint="eastAsia" w:ascii="仿宋_GB2312" w:hAnsi="仿宋_GB2312" w:eastAsia="仿宋_GB2312" w:cs="仿宋_GB2312"/>
                <w:spacing w:val="-11"/>
                <w:kern w:val="0"/>
                <w:szCs w:val="21"/>
              </w:rPr>
              <w:t>《中华人民共和国道路交通安全法》</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《中华人民共和国道路交通安全法》</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pacing w:val="-11"/>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pacing w:val="-11"/>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《中华人民共和国道路交通安全法实施条例》</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pacing w:val="-11"/>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pacing w:val="-11"/>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《机动车登记规定》</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pacing w:val="-11"/>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pacing w:val="-11"/>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《机动车登记工作规范》（公交管〔2022〕75号）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restart"/>
            <w:shd w:val="clear" w:color="auto" w:fill="auto"/>
            <w:tcMar>
              <w:top w:w="15" w:type="dxa"/>
              <w:left w:w="15" w:type="dxa"/>
              <w:right w:w="15" w:type="dxa"/>
            </w:tcMar>
            <w:vAlign w:val="center"/>
          </w:tcPr>
          <w:p>
            <w:pPr>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机动车检验合格标志核发</w:t>
            </w:r>
            <w:r>
              <w:rPr>
                <w:rFonts w:hint="eastAsia" w:ascii="仿宋_GB2312" w:hAnsi="仿宋_GB2312" w:eastAsia="仿宋_GB2312" w:cs="仿宋_GB2312"/>
                <w:spacing w:val="-6"/>
                <w:kern w:val="0"/>
                <w:szCs w:val="21"/>
              </w:rPr>
              <w:t>（省清单第74项）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kern w:val="0"/>
                <w:szCs w:val="21"/>
              </w:rPr>
            </w:pPr>
            <w:r>
              <w:rPr>
                <w:rFonts w:hint="eastAsia" w:ascii="仿宋_GB2312" w:hAnsi="仿宋_GB2312" w:eastAsia="仿宋_GB2312" w:cs="仿宋_GB2312"/>
              </w:rPr>
              <w:t>市公安局、县级公安机关</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szCs w:val="21"/>
              </w:rPr>
            </w:pPr>
            <w:r>
              <w:rPr>
                <w:rFonts w:hint="eastAsia" w:ascii="仿宋_GB2312" w:hAnsi="仿宋_GB2312" w:eastAsia="仿宋_GB2312" w:cs="仿宋_GB2312"/>
                <w:spacing w:val="-11"/>
                <w:kern w:val="0"/>
                <w:szCs w:val="21"/>
              </w:rPr>
              <w:t>《中华人民共和国道路交通安全法》</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《机动车登记规定》</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pacing w:val="-11"/>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pacing w:val="-11"/>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《机动车登记工作规范》（公交管〔2022〕75号）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restart"/>
            <w:shd w:val="clear" w:color="auto" w:fill="auto"/>
            <w:tcMar>
              <w:top w:w="15" w:type="dxa"/>
              <w:left w:w="15" w:type="dxa"/>
              <w:right w:w="15" w:type="dxa"/>
            </w:tcMar>
            <w:vAlign w:val="center"/>
          </w:tcPr>
          <w:p>
            <w:pPr>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机动车驾驶证核发、审验</w:t>
            </w:r>
            <w:r>
              <w:rPr>
                <w:rFonts w:hint="eastAsia" w:ascii="仿宋_GB2312" w:hAnsi="仿宋_GB2312" w:eastAsia="仿宋_GB2312" w:cs="仿宋_GB2312"/>
                <w:spacing w:val="-6"/>
                <w:kern w:val="0"/>
                <w:szCs w:val="21"/>
              </w:rPr>
              <w:t>（省清单第75项）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kern w:val="0"/>
                <w:szCs w:val="21"/>
              </w:rPr>
            </w:pPr>
            <w:r>
              <w:rPr>
                <w:rFonts w:hint="eastAsia" w:ascii="仿宋_GB2312" w:hAnsi="仿宋_GB2312" w:eastAsia="仿宋_GB2312" w:cs="仿宋_GB2312"/>
              </w:rPr>
              <w:t>市公安局、县级公安机关</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szCs w:val="21"/>
              </w:rPr>
            </w:pPr>
            <w:r>
              <w:rPr>
                <w:rFonts w:hint="eastAsia" w:ascii="仿宋_GB2312" w:hAnsi="仿宋_GB2312" w:eastAsia="仿宋_GB2312" w:cs="仿宋_GB2312"/>
                <w:spacing w:val="-11"/>
                <w:kern w:val="0"/>
                <w:szCs w:val="21"/>
              </w:rPr>
              <w:t>《中华人民共和国道路交通安全法》</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《中华人民共和国道路交通安全法》</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《机动车驾驶证申领和使用规定》</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Style w:val="21"/>
                <w:rFonts w:hint="default" w:ascii="仿宋_GB2312" w:hAnsi="仿宋_GB2312" w:eastAsia="仿宋_GB2312" w:cs="仿宋_GB2312"/>
                <w:color w:val="auto"/>
                <w:sz w:val="21"/>
                <w:szCs w:val="21"/>
              </w:rPr>
              <w:t>《机动车驾驶证业务工作规范》</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restart"/>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校车驾驶资格许可</w:t>
            </w:r>
            <w:r>
              <w:rPr>
                <w:rFonts w:hint="eastAsia" w:ascii="仿宋_GB2312" w:hAnsi="仿宋_GB2312" w:eastAsia="仿宋_GB2312" w:cs="仿宋_GB2312"/>
                <w:spacing w:val="-6"/>
                <w:kern w:val="0"/>
                <w:szCs w:val="21"/>
              </w:rPr>
              <w:t>（省清单第76项）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市公安局、县级公安机关</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《校车安全管理条例》</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《校车安全管理条例》</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《机动车驾驶证申领和使用规定》</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《机动车驾驶证业务工作规范》</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shd w:val="clear" w:color="auto" w:fill="auto"/>
            <w:tcMar>
              <w:top w:w="15" w:type="dxa"/>
              <w:left w:w="15" w:type="dxa"/>
              <w:right w:w="15" w:type="dxa"/>
            </w:tcMar>
            <w:vAlign w:val="center"/>
          </w:tcPr>
          <w:p>
            <w:pPr>
              <w:numPr>
                <w:ilvl w:val="0"/>
                <w:numId w:val="1"/>
              </w:numPr>
              <w:tabs>
                <w:tab w:val="left" w:pos="0"/>
                <w:tab w:val="left" w:pos="397"/>
                <w:tab w:val="left" w:pos="420"/>
              </w:tabs>
              <w:spacing w:line="0" w:lineRule="atLeast"/>
              <w:jc w:val="center"/>
              <w:rPr>
                <w:rFonts w:hint="eastAsia" w:ascii="仿宋_GB2312" w:hAnsi="仿宋_GB2312" w:eastAsia="仿宋_GB2312" w:cs="仿宋_GB2312"/>
                <w:szCs w:val="21"/>
              </w:rPr>
            </w:pPr>
          </w:p>
        </w:tc>
        <w:tc>
          <w:tcPr>
            <w:tcW w:w="1905"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非机动车登记</w:t>
            </w:r>
            <w:r>
              <w:rPr>
                <w:rFonts w:hint="eastAsia" w:ascii="仿宋_GB2312" w:hAnsi="仿宋_GB2312" w:eastAsia="仿宋_GB2312" w:cs="仿宋_GB2312"/>
                <w:spacing w:val="-6"/>
                <w:kern w:val="0"/>
                <w:szCs w:val="21"/>
              </w:rPr>
              <w:t>（省清单第77项）</w:t>
            </w:r>
          </w:p>
        </w:tc>
        <w:tc>
          <w:tcPr>
            <w:tcW w:w="1545" w:type="dxa"/>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kern w:val="0"/>
                <w:szCs w:val="21"/>
              </w:rPr>
            </w:pPr>
            <w:r>
              <w:rPr>
                <w:rFonts w:hint="eastAsia" w:ascii="仿宋_GB2312" w:hAnsi="仿宋_GB2312" w:eastAsia="仿宋_GB2312" w:cs="仿宋_GB2312"/>
                <w:spacing w:val="-11"/>
                <w:kern w:val="0"/>
                <w:szCs w:val="21"/>
              </w:rPr>
              <w:t>市公安局、县级公安机关</w:t>
            </w: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szCs w:val="21"/>
              </w:rPr>
            </w:pPr>
            <w:r>
              <w:rPr>
                <w:rFonts w:hint="eastAsia" w:ascii="仿宋_GB2312" w:hAnsi="仿宋_GB2312" w:eastAsia="仿宋_GB2312" w:cs="仿宋_GB2312"/>
                <w:spacing w:val="-11"/>
                <w:kern w:val="0"/>
                <w:szCs w:val="21"/>
              </w:rPr>
              <w:t>《中华人民共和国道路交通安全法》</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《四川省非机动车管理规定》</w:t>
            </w:r>
          </w:p>
        </w:tc>
        <w:tc>
          <w:tcPr>
            <w:tcW w:w="1791" w:type="dxa"/>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restart"/>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涉路施工交通安全审查</w:t>
            </w:r>
            <w:r>
              <w:rPr>
                <w:rFonts w:hint="eastAsia" w:ascii="仿宋_GB2312" w:hAnsi="仿宋_GB2312" w:eastAsia="仿宋_GB2312" w:cs="仿宋_GB2312"/>
                <w:spacing w:val="-6"/>
                <w:kern w:val="0"/>
                <w:szCs w:val="21"/>
              </w:rPr>
              <w:t>（省清单第78项）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kern w:val="0"/>
                <w:szCs w:val="21"/>
              </w:rPr>
            </w:pPr>
            <w:r>
              <w:rPr>
                <w:rFonts w:hint="eastAsia" w:ascii="仿宋_GB2312" w:hAnsi="仿宋_GB2312" w:eastAsia="仿宋_GB2312" w:cs="仿宋_GB2312"/>
              </w:rPr>
              <w:t>市公安局、县级公安机关</w:t>
            </w: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szCs w:val="21"/>
              </w:rPr>
            </w:pPr>
            <w:r>
              <w:rPr>
                <w:rFonts w:hint="eastAsia" w:ascii="仿宋_GB2312" w:hAnsi="仿宋_GB2312" w:eastAsia="仿宋_GB2312" w:cs="仿宋_GB2312"/>
                <w:spacing w:val="-11"/>
                <w:kern w:val="0"/>
                <w:szCs w:val="21"/>
              </w:rPr>
              <w:t>《中华人民共和国道路交通安全法》</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《中华人民共和国道路交通安全法》</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《中华人民共和国公路法》</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《中华人民共和国公路法》</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《城市道路管理条例》</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《城市道路管理条例》</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户口迁移审批</w:t>
            </w:r>
            <w:r>
              <w:rPr>
                <w:rFonts w:hint="eastAsia" w:ascii="仿宋_GB2312" w:hAnsi="仿宋_GB2312" w:eastAsia="仿宋_GB2312" w:cs="仿宋_GB2312"/>
                <w:spacing w:val="-6"/>
                <w:kern w:val="0"/>
                <w:szCs w:val="21"/>
              </w:rPr>
              <w:t>（省清单第79项）</w:t>
            </w:r>
          </w:p>
        </w:tc>
        <w:tc>
          <w:tcPr>
            <w:tcW w:w="1545" w:type="dxa"/>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11"/>
                <w:kern w:val="0"/>
                <w:szCs w:val="21"/>
              </w:rPr>
            </w:pPr>
            <w:r>
              <w:rPr>
                <w:rFonts w:hint="eastAsia" w:ascii="仿宋_GB2312" w:hAnsi="仿宋_GB2312" w:eastAsia="仿宋_GB2312" w:cs="仿宋_GB2312"/>
                <w:spacing w:val="-11"/>
                <w:kern w:val="0"/>
                <w:szCs w:val="21"/>
              </w:rPr>
              <w:t>市公安局、县级公安机关</w:t>
            </w: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11"/>
                <w:kern w:val="0"/>
                <w:szCs w:val="21"/>
              </w:rPr>
              <w:t>《中华人民共和国户口登记条例》</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《中华人民共和国户口登记条例》</w:t>
            </w:r>
          </w:p>
        </w:tc>
        <w:tc>
          <w:tcPr>
            <w:tcW w:w="1791" w:type="dxa"/>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restart"/>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11"/>
                <w:kern w:val="0"/>
                <w:szCs w:val="21"/>
              </w:rPr>
              <w:t>犬类准养证核发</w:t>
            </w:r>
            <w:r>
              <w:rPr>
                <w:rFonts w:hint="eastAsia" w:ascii="仿宋_GB2312" w:hAnsi="仿宋_GB2312" w:eastAsia="仿宋_GB2312" w:cs="仿宋_GB2312"/>
                <w:spacing w:val="-6"/>
                <w:kern w:val="0"/>
                <w:szCs w:val="21"/>
              </w:rPr>
              <w:t>（省清单第80项）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rPr>
              <w:t>县级公安机关</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《中华人民共和国动物防疫法》</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《中华人民共和国传染病防治法实施办法》</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《四川省预防控制狂犬病条例》</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0" w:hRule="atLeast"/>
        </w:trPr>
        <w:tc>
          <w:tcPr>
            <w:tcW w:w="681" w:type="dxa"/>
            <w:vMerge w:val="continue"/>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6"/>
                <w:kern w:val="0"/>
                <w:szCs w:val="21"/>
              </w:rPr>
              <w:t>《国务院办公厅转发公安部等部门关于进一步加强和改进城市养犬管理工作意见的通知》（国办发〔2019〕19号）</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81" w:type="dxa"/>
            <w:vMerge w:val="restart"/>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普通护照签发（</w:t>
            </w:r>
            <w:r>
              <w:rPr>
                <w:rFonts w:hint="eastAsia" w:ascii="仿宋_GB2312" w:hAnsi="仿宋_GB2312" w:eastAsia="仿宋_GB2312" w:cs="仿宋_GB2312"/>
                <w:spacing w:val="-11"/>
                <w:kern w:val="0"/>
                <w:szCs w:val="21"/>
              </w:rPr>
              <w:t>省清单第534项）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市公安局出入境管理机构、县级公安机关出入境管理机构（受国家移民局委托实施）</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《中华人民共和国护照法》</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《中华人民共和国护照法》</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6"/>
                <w:kern w:val="0"/>
                <w:szCs w:val="21"/>
              </w:rPr>
              <w:t>《中华人民共和国普通护照和出入境通行证签发管理办法》</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81" w:type="dxa"/>
            <w:vMerge w:val="restart"/>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vMerge w:val="restart"/>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出入境通行证签发（</w:t>
            </w:r>
            <w:r>
              <w:rPr>
                <w:rFonts w:hint="eastAsia" w:ascii="仿宋_GB2312" w:hAnsi="仿宋_GB2312" w:eastAsia="仿宋_GB2312" w:cs="仿宋_GB2312"/>
                <w:spacing w:val="-11"/>
                <w:kern w:val="0"/>
                <w:szCs w:val="21"/>
              </w:rPr>
              <w:t>省清单第535项）</w:t>
            </w:r>
          </w:p>
        </w:tc>
        <w:tc>
          <w:tcPr>
            <w:tcW w:w="1545" w:type="dxa"/>
            <w:vMerge w:val="restart"/>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市公安局出入境管理机构（受国家移民局委托实施）</w:t>
            </w:r>
          </w:p>
        </w:tc>
        <w:tc>
          <w:tcPr>
            <w:tcW w:w="2025" w:type="dxa"/>
            <w:vMerge w:val="restart"/>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《中华人民共和国护照法》</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《中华人民共和国护照法》</w:t>
            </w:r>
          </w:p>
        </w:tc>
        <w:tc>
          <w:tcPr>
            <w:tcW w:w="1791" w:type="dxa"/>
            <w:vMerge w:val="restart"/>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spacing w:line="0" w:lineRule="atLeast"/>
              <w:jc w:val="left"/>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《中国公民因私事往来香港地区或者澳门地区的暂行管理办法》</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81"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05"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szCs w:val="21"/>
              </w:rPr>
            </w:pPr>
          </w:p>
        </w:tc>
        <w:tc>
          <w:tcPr>
            <w:tcW w:w="1545" w:type="dxa"/>
            <w:vMerge w:val="continue"/>
            <w:shd w:val="clear" w:color="auto" w:fill="auto"/>
            <w:tcMar>
              <w:top w:w="15" w:type="dxa"/>
              <w:left w:w="15" w:type="dxa"/>
              <w:right w:w="15" w:type="dxa"/>
            </w:tcMar>
            <w:vAlign w:val="center"/>
          </w:tcPr>
          <w:p>
            <w:pPr>
              <w:spacing w:line="0" w:lineRule="atLeast"/>
              <w:jc w:val="center"/>
              <w:rPr>
                <w:rFonts w:hint="eastAsia" w:ascii="仿宋_GB2312" w:hAnsi="仿宋_GB2312" w:eastAsia="仿宋_GB2312" w:cs="仿宋_GB2312"/>
                <w:szCs w:val="21"/>
              </w:rPr>
            </w:pPr>
          </w:p>
        </w:tc>
        <w:tc>
          <w:tcPr>
            <w:tcW w:w="193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p>
        </w:tc>
        <w:tc>
          <w:tcPr>
            <w:tcW w:w="2025" w:type="dxa"/>
            <w:vMerge w:val="continue"/>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p>
        </w:tc>
        <w:tc>
          <w:tcPr>
            <w:tcW w:w="3900"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6"/>
                <w:kern w:val="0"/>
                <w:szCs w:val="21"/>
              </w:rPr>
              <w:t>《中华人民共和国普通护照和出入境通行证签发管理办法》</w:t>
            </w:r>
          </w:p>
        </w:tc>
        <w:tc>
          <w:tcPr>
            <w:tcW w:w="1791" w:type="dxa"/>
            <w:vMerge w:val="continue"/>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81" w:type="dxa"/>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边境管理区通行证核发（</w:t>
            </w:r>
            <w:r>
              <w:rPr>
                <w:rFonts w:hint="eastAsia" w:ascii="仿宋_GB2312" w:hAnsi="仿宋_GB2312" w:eastAsia="仿宋_GB2312" w:cs="仿宋_GB2312"/>
                <w:spacing w:val="-11"/>
                <w:kern w:val="0"/>
                <w:szCs w:val="21"/>
              </w:rPr>
              <w:t>省清单第536项）</w:t>
            </w:r>
          </w:p>
        </w:tc>
        <w:tc>
          <w:tcPr>
            <w:tcW w:w="1545" w:type="dxa"/>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市公安局；县级公安机关（含指定的派出所）</w:t>
            </w: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《国务院对确需保留的行政审批项目设定行政许可的决定》</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《中华人民共和国边境管理区通行证管理办法》</w:t>
            </w:r>
          </w:p>
        </w:tc>
        <w:tc>
          <w:tcPr>
            <w:tcW w:w="1791" w:type="dxa"/>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81" w:type="dxa"/>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6"/>
                <w:kern w:val="0"/>
                <w:szCs w:val="21"/>
              </w:rPr>
              <w:t>内地居民前往港澳通行证、往来港澳通行证及签注签发</w:t>
            </w:r>
            <w:r>
              <w:rPr>
                <w:rFonts w:hint="eastAsia" w:ascii="仿宋_GB2312" w:hAnsi="仿宋_GB2312" w:eastAsia="仿宋_GB2312" w:cs="仿宋_GB2312"/>
                <w:kern w:val="0"/>
                <w:szCs w:val="21"/>
              </w:rPr>
              <w:t>（</w:t>
            </w:r>
            <w:r>
              <w:rPr>
                <w:rFonts w:hint="eastAsia" w:ascii="仿宋_GB2312" w:hAnsi="仿宋_GB2312" w:eastAsia="仿宋_GB2312" w:cs="仿宋_GB2312"/>
                <w:spacing w:val="-11"/>
                <w:kern w:val="0"/>
                <w:szCs w:val="21"/>
              </w:rPr>
              <w:t>省清单第537项）</w:t>
            </w:r>
          </w:p>
        </w:tc>
        <w:tc>
          <w:tcPr>
            <w:tcW w:w="1545" w:type="dxa"/>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市公安局出入境管理机构、县级公安机关出入境管理机构（受国家移民局委托实施）</w:t>
            </w: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《中国公民因私事往来香港地区或者澳门地区的暂行管理办法》</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《中国公民因私事往来香港地区或者澳门地区的暂行管理办法》</w:t>
            </w:r>
          </w:p>
        </w:tc>
        <w:tc>
          <w:tcPr>
            <w:tcW w:w="1791" w:type="dxa"/>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81" w:type="dxa"/>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港澳居民来往内地通行证签发（</w:t>
            </w:r>
            <w:r>
              <w:rPr>
                <w:rFonts w:hint="eastAsia" w:ascii="仿宋_GB2312" w:hAnsi="仿宋_GB2312" w:eastAsia="仿宋_GB2312" w:cs="仿宋_GB2312"/>
                <w:spacing w:val="-11"/>
                <w:kern w:val="0"/>
                <w:szCs w:val="21"/>
              </w:rPr>
              <w:t>省清单第538项）</w:t>
            </w:r>
          </w:p>
        </w:tc>
        <w:tc>
          <w:tcPr>
            <w:tcW w:w="1545" w:type="dxa"/>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市公安局出入境管理机构、县级公安机关出入境管理机构（受国家移民局委托实施）（换发、补发）</w:t>
            </w: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《中国公民因私事往来香港地区或者澳门地区的暂行管理办法》</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《中国公民因私事往来香港地区或者澳门地区的暂行管理办法》</w:t>
            </w:r>
          </w:p>
        </w:tc>
        <w:tc>
          <w:tcPr>
            <w:tcW w:w="1791" w:type="dxa"/>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81" w:type="dxa"/>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spacing w:val="6"/>
                <w:kern w:val="0"/>
                <w:szCs w:val="21"/>
              </w:rPr>
              <w:t>大陆居民往来台湾通行证及签注签发</w:t>
            </w:r>
            <w:r>
              <w:rPr>
                <w:rFonts w:hint="eastAsia" w:ascii="仿宋_GB2312" w:hAnsi="仿宋_GB2312" w:eastAsia="仿宋_GB2312" w:cs="仿宋_GB2312"/>
                <w:kern w:val="0"/>
                <w:szCs w:val="21"/>
              </w:rPr>
              <w:t>（</w:t>
            </w:r>
            <w:r>
              <w:rPr>
                <w:rFonts w:hint="eastAsia" w:ascii="仿宋_GB2312" w:hAnsi="仿宋_GB2312" w:eastAsia="仿宋_GB2312" w:cs="仿宋_GB2312"/>
                <w:spacing w:val="-11"/>
                <w:kern w:val="0"/>
                <w:szCs w:val="21"/>
              </w:rPr>
              <w:t>省清单第540项）</w:t>
            </w:r>
          </w:p>
        </w:tc>
        <w:tc>
          <w:tcPr>
            <w:tcW w:w="1545" w:type="dxa"/>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6"/>
                <w:kern w:val="0"/>
                <w:szCs w:val="21"/>
              </w:rPr>
            </w:pPr>
            <w:r>
              <w:rPr>
                <w:rFonts w:hint="eastAsia" w:ascii="仿宋_GB2312" w:hAnsi="仿宋_GB2312" w:eastAsia="仿宋_GB2312" w:cs="仿宋_GB2312"/>
                <w:kern w:val="0"/>
                <w:szCs w:val="21"/>
              </w:rPr>
              <w:t>市公安局出入境管理机构、县级公安机关出入境管理机构（受国家移民局委托实施）</w:t>
            </w: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6"/>
                <w:szCs w:val="21"/>
              </w:rPr>
            </w:pPr>
            <w:r>
              <w:rPr>
                <w:rFonts w:hint="eastAsia" w:ascii="仿宋_GB2312" w:hAnsi="仿宋_GB2312" w:eastAsia="仿宋_GB2312" w:cs="仿宋_GB2312"/>
                <w:spacing w:val="6"/>
                <w:kern w:val="0"/>
                <w:szCs w:val="21"/>
              </w:rPr>
              <w:t>《中国公民往来台湾地区管理办法》</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《中国公民往来台湾地区管理办法》</w:t>
            </w:r>
          </w:p>
        </w:tc>
        <w:tc>
          <w:tcPr>
            <w:tcW w:w="1791" w:type="dxa"/>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81" w:type="dxa"/>
            <w:shd w:val="clear" w:color="auto" w:fill="auto"/>
            <w:tcMar>
              <w:top w:w="15" w:type="dxa"/>
              <w:left w:w="15" w:type="dxa"/>
              <w:right w:w="15" w:type="dxa"/>
            </w:tcMar>
            <w:vAlign w:val="center"/>
          </w:tcPr>
          <w:p>
            <w:pPr>
              <w:widowControl/>
              <w:numPr>
                <w:ilvl w:val="0"/>
                <w:numId w:val="1"/>
              </w:numPr>
              <w:tabs>
                <w:tab w:val="left" w:pos="0"/>
                <w:tab w:val="left" w:pos="397"/>
                <w:tab w:val="left" w:pos="420"/>
              </w:tabs>
              <w:spacing w:line="0" w:lineRule="atLeast"/>
              <w:jc w:val="center"/>
              <w:textAlignment w:val="center"/>
              <w:rPr>
                <w:rFonts w:hint="eastAsia" w:ascii="仿宋_GB2312" w:hAnsi="仿宋_GB2312" w:eastAsia="仿宋_GB2312" w:cs="仿宋_GB2312"/>
                <w:szCs w:val="21"/>
              </w:rPr>
            </w:pPr>
          </w:p>
        </w:tc>
        <w:tc>
          <w:tcPr>
            <w:tcW w:w="1905" w:type="dxa"/>
            <w:shd w:val="clear" w:color="auto" w:fill="auto"/>
            <w:tcMar>
              <w:top w:w="15" w:type="dxa"/>
              <w:left w:w="15" w:type="dxa"/>
              <w:right w:w="15" w:type="dxa"/>
            </w:tcMar>
            <w:vAlign w:val="center"/>
          </w:tcPr>
          <w:p>
            <w:pPr>
              <w:widowControl/>
              <w:spacing w:line="0" w:lineRule="atLeas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台湾居民来往大陆通行证签发（</w:t>
            </w:r>
            <w:r>
              <w:rPr>
                <w:rFonts w:hint="eastAsia" w:ascii="仿宋_GB2312" w:hAnsi="仿宋_GB2312" w:eastAsia="仿宋_GB2312" w:cs="仿宋_GB2312"/>
                <w:spacing w:val="-11"/>
                <w:kern w:val="0"/>
                <w:szCs w:val="21"/>
              </w:rPr>
              <w:t>省清单第541项）</w:t>
            </w:r>
          </w:p>
        </w:tc>
        <w:tc>
          <w:tcPr>
            <w:tcW w:w="1545" w:type="dxa"/>
            <w:shd w:val="clear" w:color="auto" w:fill="auto"/>
            <w:tcMar>
              <w:top w:w="15" w:type="dxa"/>
              <w:left w:w="15" w:type="dxa"/>
              <w:right w:w="15" w:type="dxa"/>
            </w:tcMar>
            <w:vAlign w:val="center"/>
          </w:tcPr>
          <w:p>
            <w:pPr>
              <w:widowControl/>
              <w:spacing w:line="0" w:lineRule="atLeas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市公安局</w:t>
            </w:r>
          </w:p>
        </w:tc>
        <w:tc>
          <w:tcPr>
            <w:tcW w:w="193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6"/>
                <w:kern w:val="0"/>
                <w:szCs w:val="21"/>
              </w:rPr>
            </w:pPr>
            <w:r>
              <w:rPr>
                <w:rFonts w:hint="eastAsia" w:ascii="仿宋_GB2312" w:hAnsi="仿宋_GB2312" w:eastAsia="仿宋_GB2312" w:cs="仿宋_GB2312"/>
                <w:kern w:val="0"/>
                <w:szCs w:val="21"/>
              </w:rPr>
              <w:t>市公安局出入境管理机构、县级公安机关出入境管理机构（受国家移民局委托实施）</w:t>
            </w:r>
          </w:p>
        </w:tc>
        <w:tc>
          <w:tcPr>
            <w:tcW w:w="2025"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pacing w:val="6"/>
                <w:szCs w:val="21"/>
              </w:rPr>
            </w:pPr>
            <w:r>
              <w:rPr>
                <w:rFonts w:hint="eastAsia" w:ascii="仿宋_GB2312" w:hAnsi="仿宋_GB2312" w:eastAsia="仿宋_GB2312" w:cs="仿宋_GB2312"/>
                <w:spacing w:val="6"/>
                <w:kern w:val="0"/>
                <w:szCs w:val="21"/>
              </w:rPr>
              <w:t>《中国公民往来台湾地区管理办法》</w:t>
            </w:r>
          </w:p>
        </w:tc>
        <w:tc>
          <w:tcPr>
            <w:tcW w:w="3900" w:type="dxa"/>
            <w:shd w:val="clear" w:color="auto" w:fill="auto"/>
            <w:tcMar>
              <w:top w:w="15" w:type="dxa"/>
              <w:left w:w="15" w:type="dxa"/>
              <w:right w:w="15" w:type="dxa"/>
            </w:tcMar>
            <w:vAlign w:val="center"/>
          </w:tcPr>
          <w:p>
            <w:pPr>
              <w:widowControl/>
              <w:spacing w:line="0" w:lineRule="atLeas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《中国公民往来台湾地区管理办法》</w:t>
            </w:r>
          </w:p>
        </w:tc>
        <w:tc>
          <w:tcPr>
            <w:tcW w:w="1791" w:type="dxa"/>
            <w:shd w:val="clear" w:color="auto" w:fill="auto"/>
            <w:tcMar>
              <w:top w:w="15" w:type="dxa"/>
              <w:left w:w="15" w:type="dxa"/>
              <w:right w:w="15" w:type="dxa"/>
            </w:tcMar>
            <w:vAlign w:val="center"/>
          </w:tcPr>
          <w:p>
            <w:pPr>
              <w:spacing w:line="0" w:lineRule="atLeast"/>
              <w:rPr>
                <w:rFonts w:hint="eastAsia" w:ascii="仿宋_GB2312" w:hAnsi="仿宋_GB2312" w:eastAsia="仿宋_GB2312" w:cs="仿宋_GB2312"/>
                <w:color w:val="auto"/>
                <w:szCs w:val="21"/>
              </w:rPr>
            </w:pPr>
          </w:p>
        </w:tc>
      </w:tr>
    </w:tbl>
    <w:p>
      <w:pPr>
        <w:rPr>
          <w:rFonts w:hint="eastAsia" w:ascii="方正小标宋简体" w:hAnsi="方正小标宋简体" w:eastAsia="方正小标宋简体" w:cs="方正小标宋简体"/>
          <w:sz w:val="30"/>
          <w:szCs w:val="30"/>
        </w:rPr>
      </w:pPr>
    </w:p>
    <w:sectPr>
      <w:footerReference r:id="rId3" w:type="default"/>
      <w:footerReference r:id="rId4" w:type="even"/>
      <w:pgSz w:w="16838" w:h="11906" w:orient="landscape"/>
      <w:pgMar w:top="1134" w:right="1191" w:bottom="1134" w:left="1191" w:header="851" w:footer="850"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方正黑体简体">
    <w:altName w:val="方正小标宋简体"/>
    <w:panose1 w:val="00000000000000000000"/>
    <w:charset w:val="86"/>
    <w:family w:val="auto"/>
    <w:pitch w:val="default"/>
    <w:sig w:usb0="00000000" w:usb1="00000000" w:usb2="00000000" w:usb3="00000000" w:csb0="00040000" w:csb1="00000000"/>
  </w:font>
  <w:font w:name="方正隶书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泉驿正黑">
    <w:panose1 w:val="02000603000000000000"/>
    <w:charset w:val="86"/>
    <w:family w:val="auto"/>
    <w:pitch w:val="default"/>
    <w:sig w:usb0="900002BF" w:usb1="2BDF7DFB" w:usb2="00000036" w:usb3="00000000" w:csb0="603E000D" w:csb1="D2D7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2</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CgF26zFQIAABkEAAAOAAAAAAAAAAEAIAAAADUBAABkcnMvZTJvRG9jLnhtbFBLBQYAAAAABgAG&#10;AFkBAAC8BQAAAAA=&#10;">
              <v:fill on="f" focussize="0,0"/>
              <v:stroke on="f" weight="0.5pt"/>
              <v:imagedata o:title=""/>
              <o:lock v:ext="edit" aspectratio="f"/>
              <v:textbox inset="0mm,0mm,0mm,0mm" style="mso-fit-shape-to-text:t;">
                <w:txbxContent>
                  <w:p>
                    <w:pPr>
                      <w:pStyle w:val="8"/>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2</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8"/>
                            <w:rPr>
                              <w:rFonts w:hint="eastAsia" w:ascii="宋体" w:hAnsi="宋体" w:cs="宋体"/>
                              <w:sz w:val="28"/>
                              <w:szCs w:val="28"/>
                            </w:rPr>
                          </w:pPr>
                        </w:p>
                      </w:txbxContent>
                    </wps:txbx>
                    <wps:bodyPr wrap="none" lIns="0" tIns="0" rIns="0" bIns="0" upright="true">
                      <a:spAutoFit/>
                    </wps:bodyPr>
                  </wps:wsp>
                </a:graphicData>
              </a:graphic>
            </wp:anchor>
          </w:drawing>
        </mc:Choice>
        <mc:Fallback>
          <w:pict>
            <v:rect id="文本框 3" o:spid="_x0000_s1026" o:spt="1" style="position:absolute;left:0pt;margin-top:0pt;height:144pt;width:144pt;mso-position-horizontal:center;mso-position-horizontal-relative:margin;mso-wrap-style:none;z-index:251657216;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WAAAAZHJzL1BLAQIUABQAAAAI&#10;AIdO4kC5dblS0AAAAAUBAAAPAAAAAAAAAAEAIAAAADgAAABkcnMvZG93bnJldi54bWxQSwECFAAU&#10;AAAACACHTuJAVV24zKoBAABEAwAADgAAAAAAAAABACAAAAA1AQAAZHJzL2Uyb0RvYy54bWxQSwUG&#10;AAAAAAYABgBZAQAAUQUAAAAA&#10;">
              <v:fill on="f" focussize="0,0"/>
              <v:stroke on="f"/>
              <v:imagedata o:title=""/>
              <o:lock v:ext="edit" aspectratio="f"/>
              <v:textbox inset="0mm,0mm,0mm,0mm" style="mso-fit-shape-to-text:t;">
                <w:txbxContent>
                  <w:p>
                    <w:pPr>
                      <w:pStyle w:val="8"/>
                      <w:rPr>
                        <w:rFonts w:hint="eastAsia" w:ascii="宋体" w:hAnsi="宋体" w:cs="宋体"/>
                        <w:sz w:val="28"/>
                        <w:szCs w:val="28"/>
                      </w:rPr>
                    </w:pP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282" w:firstLineChars="101"/>
      <w:rPr>
        <w:rFonts w:hint="eastAsia" w:asciiTheme="majorEastAsia" w:hAnsiTheme="majorEastAsia" w:eastAsiaTheme="majorEastAsia"/>
        <w:sz w:val="28"/>
        <w:szCs w:val="28"/>
      </w:rPr>
    </w:pPr>
    <w:r>
      <w:rPr>
        <w:rFonts w:hint="eastAsia" w:asciiTheme="majorEastAsia" w:hAnsiTheme="majorEastAsia" w:eastAsiaTheme="majorEastAsia"/>
        <w:sz w:val="28"/>
        <w:szCs w:val="28"/>
      </w:rPr>
      <w:t xml:space="preserve">— </w:t>
    </w:r>
    <w:sdt>
      <w:sdtPr>
        <w:rPr>
          <w:rFonts w:asciiTheme="majorEastAsia" w:hAnsiTheme="majorEastAsia" w:eastAsiaTheme="majorEastAsia"/>
          <w:sz w:val="28"/>
          <w:szCs w:val="28"/>
        </w:rPr>
        <w:id w:val="1101522468"/>
        <w:docPartObj>
          <w:docPartGallery w:val="autotext"/>
        </w:docPartObj>
      </w:sdtPr>
      <w:sdtEndPr>
        <w:rPr>
          <w:rFonts w:asciiTheme="majorEastAsia" w:hAnsiTheme="majorEastAsia" w:eastAsiaTheme="majorEastAsia"/>
          <w:sz w:val="28"/>
          <w:szCs w:val="28"/>
        </w:rPr>
      </w:sdtEndPr>
      <w:sdtContent>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2</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sdtContent>
    </w:sdt>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97F4C8"/>
    <w:multiLevelType w:val="singleLevel"/>
    <w:tmpl w:val="FF97F4C8"/>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true"/>
  <w:bordersDoNotSurroundFooter w:val="true"/>
  <w:documentProtection w:enforcement="0"/>
  <w:defaultTabStop w:val="420"/>
  <w:evenAndOddHeaders w:val="true"/>
  <w:drawingGridHorizontalSpacing w:val="105"/>
  <w:drawingGridVerticalSpacing w:val="321"/>
  <w:displayHorizont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436C"/>
    <w:rsid w:val="001234B5"/>
    <w:rsid w:val="003E3409"/>
    <w:rsid w:val="00473FBC"/>
    <w:rsid w:val="0052039F"/>
    <w:rsid w:val="00627ED1"/>
    <w:rsid w:val="006D268D"/>
    <w:rsid w:val="007F3EED"/>
    <w:rsid w:val="00AF436C"/>
    <w:rsid w:val="00B52901"/>
    <w:rsid w:val="00BA372A"/>
    <w:rsid w:val="00ED496C"/>
    <w:rsid w:val="013B51A9"/>
    <w:rsid w:val="019D3F04"/>
    <w:rsid w:val="01A016A6"/>
    <w:rsid w:val="01BA48A9"/>
    <w:rsid w:val="02EE1700"/>
    <w:rsid w:val="02FE730A"/>
    <w:rsid w:val="041C465A"/>
    <w:rsid w:val="04307F18"/>
    <w:rsid w:val="04821A24"/>
    <w:rsid w:val="0539669D"/>
    <w:rsid w:val="057550CD"/>
    <w:rsid w:val="065D3710"/>
    <w:rsid w:val="072045F1"/>
    <w:rsid w:val="07333AC3"/>
    <w:rsid w:val="0796015D"/>
    <w:rsid w:val="07DF3272"/>
    <w:rsid w:val="07F13CBE"/>
    <w:rsid w:val="0823179C"/>
    <w:rsid w:val="085775BB"/>
    <w:rsid w:val="097F6BD9"/>
    <w:rsid w:val="09D8226F"/>
    <w:rsid w:val="0A5F5265"/>
    <w:rsid w:val="0B18582F"/>
    <w:rsid w:val="0B597BEF"/>
    <w:rsid w:val="0BFFC167"/>
    <w:rsid w:val="0C11154E"/>
    <w:rsid w:val="0C250757"/>
    <w:rsid w:val="0CAE0861"/>
    <w:rsid w:val="0CFC5AAD"/>
    <w:rsid w:val="0DD80944"/>
    <w:rsid w:val="0E120127"/>
    <w:rsid w:val="0E361B4C"/>
    <w:rsid w:val="0E7FE923"/>
    <w:rsid w:val="0E9E717E"/>
    <w:rsid w:val="0EF76AE1"/>
    <w:rsid w:val="0EFFB996"/>
    <w:rsid w:val="0F7900A2"/>
    <w:rsid w:val="0F7DE175"/>
    <w:rsid w:val="0F7F722F"/>
    <w:rsid w:val="0FBD7BC9"/>
    <w:rsid w:val="0FBF95B3"/>
    <w:rsid w:val="0FFD7BAA"/>
    <w:rsid w:val="1068300B"/>
    <w:rsid w:val="10C74BA5"/>
    <w:rsid w:val="11677AFC"/>
    <w:rsid w:val="12F11148"/>
    <w:rsid w:val="12FE8415"/>
    <w:rsid w:val="1327159C"/>
    <w:rsid w:val="14224F72"/>
    <w:rsid w:val="1472594B"/>
    <w:rsid w:val="147D037A"/>
    <w:rsid w:val="14914F5B"/>
    <w:rsid w:val="14E40343"/>
    <w:rsid w:val="15AFD5DF"/>
    <w:rsid w:val="15DF7207"/>
    <w:rsid w:val="15F7762B"/>
    <w:rsid w:val="15FF154A"/>
    <w:rsid w:val="16D653B1"/>
    <w:rsid w:val="16FFAE4D"/>
    <w:rsid w:val="178E40F1"/>
    <w:rsid w:val="17AF8A53"/>
    <w:rsid w:val="17DBAAB2"/>
    <w:rsid w:val="17EECE22"/>
    <w:rsid w:val="189468AB"/>
    <w:rsid w:val="18C1596E"/>
    <w:rsid w:val="18D80B4A"/>
    <w:rsid w:val="18FDDC90"/>
    <w:rsid w:val="19425ACF"/>
    <w:rsid w:val="1A762F39"/>
    <w:rsid w:val="1ADFEE51"/>
    <w:rsid w:val="1AEC15B8"/>
    <w:rsid w:val="1AEDA485"/>
    <w:rsid w:val="1B1342DD"/>
    <w:rsid w:val="1B699B2F"/>
    <w:rsid w:val="1B7A2351"/>
    <w:rsid w:val="1B7FFF7F"/>
    <w:rsid w:val="1B9B43CD"/>
    <w:rsid w:val="1BAC03CB"/>
    <w:rsid w:val="1BCE2F5A"/>
    <w:rsid w:val="1BE249A2"/>
    <w:rsid w:val="1BF71ED6"/>
    <w:rsid w:val="1BFBE059"/>
    <w:rsid w:val="1BFF28CB"/>
    <w:rsid w:val="1C0B7218"/>
    <w:rsid w:val="1CAB19D8"/>
    <w:rsid w:val="1CBFD968"/>
    <w:rsid w:val="1D6F724A"/>
    <w:rsid w:val="1D9B1458"/>
    <w:rsid w:val="1DBBB0AA"/>
    <w:rsid w:val="1DBEE7C6"/>
    <w:rsid w:val="1DE8CA28"/>
    <w:rsid w:val="1DFF1C9E"/>
    <w:rsid w:val="1DFFE41C"/>
    <w:rsid w:val="1E491765"/>
    <w:rsid w:val="1E4E48C9"/>
    <w:rsid w:val="1ED21F5D"/>
    <w:rsid w:val="1EE5AE5F"/>
    <w:rsid w:val="1EEB643B"/>
    <w:rsid w:val="1EF844C1"/>
    <w:rsid w:val="1EFC8A5F"/>
    <w:rsid w:val="1EFFDE38"/>
    <w:rsid w:val="1F0D1493"/>
    <w:rsid w:val="1F490D03"/>
    <w:rsid w:val="1F6FD604"/>
    <w:rsid w:val="1F7E7B91"/>
    <w:rsid w:val="1FABB27F"/>
    <w:rsid w:val="1FAFD086"/>
    <w:rsid w:val="1FBFFE48"/>
    <w:rsid w:val="1FCF8A1A"/>
    <w:rsid w:val="1FDFE41D"/>
    <w:rsid w:val="1FE523ED"/>
    <w:rsid w:val="203D096A"/>
    <w:rsid w:val="206C32C6"/>
    <w:rsid w:val="207F71D6"/>
    <w:rsid w:val="208A38DA"/>
    <w:rsid w:val="2157457E"/>
    <w:rsid w:val="21A72E6D"/>
    <w:rsid w:val="21B5551B"/>
    <w:rsid w:val="21D02D6B"/>
    <w:rsid w:val="22292699"/>
    <w:rsid w:val="223472DE"/>
    <w:rsid w:val="22797C98"/>
    <w:rsid w:val="23575BB3"/>
    <w:rsid w:val="23ABDF27"/>
    <w:rsid w:val="23BF7924"/>
    <w:rsid w:val="23D82CD8"/>
    <w:rsid w:val="23F6C569"/>
    <w:rsid w:val="24F746DA"/>
    <w:rsid w:val="25312E06"/>
    <w:rsid w:val="2542227B"/>
    <w:rsid w:val="25BFFF53"/>
    <w:rsid w:val="25D17C8D"/>
    <w:rsid w:val="263EF02F"/>
    <w:rsid w:val="2650412A"/>
    <w:rsid w:val="2656EC05"/>
    <w:rsid w:val="26770764"/>
    <w:rsid w:val="26AB4747"/>
    <w:rsid w:val="26DF1AA9"/>
    <w:rsid w:val="26EB5F17"/>
    <w:rsid w:val="275F1361"/>
    <w:rsid w:val="277D35DD"/>
    <w:rsid w:val="277F84FA"/>
    <w:rsid w:val="27BEEFEB"/>
    <w:rsid w:val="27C3B5C4"/>
    <w:rsid w:val="27D75495"/>
    <w:rsid w:val="27EF2F3D"/>
    <w:rsid w:val="27F71B4D"/>
    <w:rsid w:val="285271C3"/>
    <w:rsid w:val="28AF6EC7"/>
    <w:rsid w:val="28BFCC5C"/>
    <w:rsid w:val="28D06A5E"/>
    <w:rsid w:val="28DBFE7C"/>
    <w:rsid w:val="28F7B78C"/>
    <w:rsid w:val="29DFC0FD"/>
    <w:rsid w:val="2A280195"/>
    <w:rsid w:val="2A7C940F"/>
    <w:rsid w:val="2AB7BB06"/>
    <w:rsid w:val="2AEF1B2F"/>
    <w:rsid w:val="2B5F7BA7"/>
    <w:rsid w:val="2B7BF869"/>
    <w:rsid w:val="2B800F09"/>
    <w:rsid w:val="2BC1386E"/>
    <w:rsid w:val="2BED7952"/>
    <w:rsid w:val="2BFF2446"/>
    <w:rsid w:val="2BFF6C0D"/>
    <w:rsid w:val="2BFF7914"/>
    <w:rsid w:val="2CB82932"/>
    <w:rsid w:val="2D647A94"/>
    <w:rsid w:val="2D6AA524"/>
    <w:rsid w:val="2D8E6425"/>
    <w:rsid w:val="2DCB98E6"/>
    <w:rsid w:val="2DEE2129"/>
    <w:rsid w:val="2DF7213E"/>
    <w:rsid w:val="2E45654D"/>
    <w:rsid w:val="2E7B155D"/>
    <w:rsid w:val="2EA7D50E"/>
    <w:rsid w:val="2EBFBF21"/>
    <w:rsid w:val="2EC6625F"/>
    <w:rsid w:val="2ECB26E8"/>
    <w:rsid w:val="2ECFBF8A"/>
    <w:rsid w:val="2EDBE253"/>
    <w:rsid w:val="2EE70AE4"/>
    <w:rsid w:val="2EFDF409"/>
    <w:rsid w:val="2EFF86A1"/>
    <w:rsid w:val="2F2DEEAE"/>
    <w:rsid w:val="2F2F0208"/>
    <w:rsid w:val="2F515C72"/>
    <w:rsid w:val="2F6FBC29"/>
    <w:rsid w:val="2FA46FF6"/>
    <w:rsid w:val="2FB70FE5"/>
    <w:rsid w:val="2FBF4297"/>
    <w:rsid w:val="2FD6800C"/>
    <w:rsid w:val="2FD7405D"/>
    <w:rsid w:val="2FD9F146"/>
    <w:rsid w:val="2FDA1D0E"/>
    <w:rsid w:val="2FDF588C"/>
    <w:rsid w:val="2FEB6C94"/>
    <w:rsid w:val="2FEE372C"/>
    <w:rsid w:val="2FF72F4A"/>
    <w:rsid w:val="2FF99605"/>
    <w:rsid w:val="2FFB44E1"/>
    <w:rsid w:val="2FFB93EC"/>
    <w:rsid w:val="2FFF68F9"/>
    <w:rsid w:val="30A15498"/>
    <w:rsid w:val="31142E6D"/>
    <w:rsid w:val="31475EF2"/>
    <w:rsid w:val="322308B3"/>
    <w:rsid w:val="325B2C46"/>
    <w:rsid w:val="32B64A06"/>
    <w:rsid w:val="32BF91F5"/>
    <w:rsid w:val="330470D2"/>
    <w:rsid w:val="331EE94C"/>
    <w:rsid w:val="33BFB3C1"/>
    <w:rsid w:val="33E7D8C6"/>
    <w:rsid w:val="33FDDCD6"/>
    <w:rsid w:val="34D1B91C"/>
    <w:rsid w:val="34FFB6BD"/>
    <w:rsid w:val="353755DB"/>
    <w:rsid w:val="353D3B1D"/>
    <w:rsid w:val="354376B2"/>
    <w:rsid w:val="35A7C20C"/>
    <w:rsid w:val="35B0053D"/>
    <w:rsid w:val="35E86496"/>
    <w:rsid w:val="35EF2802"/>
    <w:rsid w:val="35F4C535"/>
    <w:rsid w:val="36183829"/>
    <w:rsid w:val="36354934"/>
    <w:rsid w:val="36914144"/>
    <w:rsid w:val="369F322F"/>
    <w:rsid w:val="36A17C8E"/>
    <w:rsid w:val="36F33086"/>
    <w:rsid w:val="36F7D087"/>
    <w:rsid w:val="36FD5DF1"/>
    <w:rsid w:val="36FF7FAC"/>
    <w:rsid w:val="371D80DD"/>
    <w:rsid w:val="37756F28"/>
    <w:rsid w:val="37946361"/>
    <w:rsid w:val="379D08DB"/>
    <w:rsid w:val="37A4FA01"/>
    <w:rsid w:val="37A5147C"/>
    <w:rsid w:val="37AB949D"/>
    <w:rsid w:val="37B99F48"/>
    <w:rsid w:val="37BF0304"/>
    <w:rsid w:val="37D63793"/>
    <w:rsid w:val="37DB094B"/>
    <w:rsid w:val="37DB6682"/>
    <w:rsid w:val="37F60BC8"/>
    <w:rsid w:val="37FD0AA9"/>
    <w:rsid w:val="37FF5343"/>
    <w:rsid w:val="399AD95F"/>
    <w:rsid w:val="39E9088E"/>
    <w:rsid w:val="39ED1301"/>
    <w:rsid w:val="39FDD828"/>
    <w:rsid w:val="3A0F8C62"/>
    <w:rsid w:val="3A336E90"/>
    <w:rsid w:val="3AF7758C"/>
    <w:rsid w:val="3AFB4566"/>
    <w:rsid w:val="3AFF502D"/>
    <w:rsid w:val="3B2F8BD6"/>
    <w:rsid w:val="3B77CE7B"/>
    <w:rsid w:val="3B7E2DE9"/>
    <w:rsid w:val="3B7FD221"/>
    <w:rsid w:val="3B857AAA"/>
    <w:rsid w:val="3B9DF87B"/>
    <w:rsid w:val="3BBFE7A8"/>
    <w:rsid w:val="3BDEA85A"/>
    <w:rsid w:val="3BEF599E"/>
    <w:rsid w:val="3BF92DCD"/>
    <w:rsid w:val="3BFD56A3"/>
    <w:rsid w:val="3BFF8AB5"/>
    <w:rsid w:val="3C686B85"/>
    <w:rsid w:val="3C781123"/>
    <w:rsid w:val="3C7C4E72"/>
    <w:rsid w:val="3CAF7D4C"/>
    <w:rsid w:val="3CAFDE4C"/>
    <w:rsid w:val="3CB01ACC"/>
    <w:rsid w:val="3CE5CAE0"/>
    <w:rsid w:val="3CFA4306"/>
    <w:rsid w:val="3CFB5B19"/>
    <w:rsid w:val="3CFD9E6B"/>
    <w:rsid w:val="3CFDD771"/>
    <w:rsid w:val="3CFF8200"/>
    <w:rsid w:val="3D5D5C6D"/>
    <w:rsid w:val="3D715A7B"/>
    <w:rsid w:val="3D7F6DA9"/>
    <w:rsid w:val="3D967154"/>
    <w:rsid w:val="3DB6B111"/>
    <w:rsid w:val="3DBBA841"/>
    <w:rsid w:val="3DDB85FD"/>
    <w:rsid w:val="3DDE999B"/>
    <w:rsid w:val="3DDEB4C9"/>
    <w:rsid w:val="3DE7D373"/>
    <w:rsid w:val="3DEFC4B8"/>
    <w:rsid w:val="3DFD55C4"/>
    <w:rsid w:val="3DFD5CFF"/>
    <w:rsid w:val="3DFE1647"/>
    <w:rsid w:val="3DFF0A94"/>
    <w:rsid w:val="3DFF18CA"/>
    <w:rsid w:val="3DFFB810"/>
    <w:rsid w:val="3DFFFEE4"/>
    <w:rsid w:val="3E1FAFDF"/>
    <w:rsid w:val="3E2647C8"/>
    <w:rsid w:val="3E7DBC6A"/>
    <w:rsid w:val="3E7F16B3"/>
    <w:rsid w:val="3E7FCDCD"/>
    <w:rsid w:val="3E7FD65D"/>
    <w:rsid w:val="3E95EB46"/>
    <w:rsid w:val="3E9FF924"/>
    <w:rsid w:val="3EAF2334"/>
    <w:rsid w:val="3EB7AC7F"/>
    <w:rsid w:val="3EB91717"/>
    <w:rsid w:val="3EBB6EF3"/>
    <w:rsid w:val="3EBD416D"/>
    <w:rsid w:val="3EBF0A71"/>
    <w:rsid w:val="3EDFF5D6"/>
    <w:rsid w:val="3EEC044D"/>
    <w:rsid w:val="3EEF23B5"/>
    <w:rsid w:val="3EF16F4F"/>
    <w:rsid w:val="3EFB92D5"/>
    <w:rsid w:val="3EFD312E"/>
    <w:rsid w:val="3F0031A4"/>
    <w:rsid w:val="3F469DCE"/>
    <w:rsid w:val="3F572F08"/>
    <w:rsid w:val="3F69DA8B"/>
    <w:rsid w:val="3F6D3977"/>
    <w:rsid w:val="3F7C66E3"/>
    <w:rsid w:val="3F7F1749"/>
    <w:rsid w:val="3F7F7322"/>
    <w:rsid w:val="3F7FA1C7"/>
    <w:rsid w:val="3F944F7C"/>
    <w:rsid w:val="3F9B620E"/>
    <w:rsid w:val="3F9F02D3"/>
    <w:rsid w:val="3FA44A29"/>
    <w:rsid w:val="3FB726BB"/>
    <w:rsid w:val="3FBB8723"/>
    <w:rsid w:val="3FBF41C9"/>
    <w:rsid w:val="3FBF745E"/>
    <w:rsid w:val="3FD6D22C"/>
    <w:rsid w:val="3FD7A807"/>
    <w:rsid w:val="3FD9F7E7"/>
    <w:rsid w:val="3FDC7986"/>
    <w:rsid w:val="3FDE1AD4"/>
    <w:rsid w:val="3FDE281B"/>
    <w:rsid w:val="3FDF299D"/>
    <w:rsid w:val="3FDFDB35"/>
    <w:rsid w:val="3FE7DDA9"/>
    <w:rsid w:val="3FE94CDB"/>
    <w:rsid w:val="3FF28471"/>
    <w:rsid w:val="3FF64A6F"/>
    <w:rsid w:val="3FF6EA15"/>
    <w:rsid w:val="3FF754BD"/>
    <w:rsid w:val="3FF93305"/>
    <w:rsid w:val="3FFA5F49"/>
    <w:rsid w:val="3FFBC6A6"/>
    <w:rsid w:val="3FFCC856"/>
    <w:rsid w:val="3FFD107F"/>
    <w:rsid w:val="3FFE2EF6"/>
    <w:rsid w:val="3FFE4FF5"/>
    <w:rsid w:val="3FFE5CEC"/>
    <w:rsid w:val="3FFF6472"/>
    <w:rsid w:val="3FFF9363"/>
    <w:rsid w:val="3FFFD1D2"/>
    <w:rsid w:val="3FFFD217"/>
    <w:rsid w:val="3FFFF281"/>
    <w:rsid w:val="405623EE"/>
    <w:rsid w:val="40E13791"/>
    <w:rsid w:val="420924B1"/>
    <w:rsid w:val="4256006E"/>
    <w:rsid w:val="43A43739"/>
    <w:rsid w:val="43CF7010"/>
    <w:rsid w:val="43EB7DED"/>
    <w:rsid w:val="43F36A01"/>
    <w:rsid w:val="44320124"/>
    <w:rsid w:val="444F088B"/>
    <w:rsid w:val="447060A9"/>
    <w:rsid w:val="4486795F"/>
    <w:rsid w:val="44F71996"/>
    <w:rsid w:val="4575006C"/>
    <w:rsid w:val="45C74D8A"/>
    <w:rsid w:val="46694281"/>
    <w:rsid w:val="469B0E21"/>
    <w:rsid w:val="46F27CB3"/>
    <w:rsid w:val="472552CA"/>
    <w:rsid w:val="477F1B2E"/>
    <w:rsid w:val="47AF031E"/>
    <w:rsid w:val="47F5C105"/>
    <w:rsid w:val="47FD2FDA"/>
    <w:rsid w:val="48550574"/>
    <w:rsid w:val="48F26A0E"/>
    <w:rsid w:val="49275143"/>
    <w:rsid w:val="49AF38C0"/>
    <w:rsid w:val="49DA3B9B"/>
    <w:rsid w:val="49DF4A47"/>
    <w:rsid w:val="4A3F7C18"/>
    <w:rsid w:val="4A779EF4"/>
    <w:rsid w:val="4A864A6B"/>
    <w:rsid w:val="4B1DC6C0"/>
    <w:rsid w:val="4B3B172E"/>
    <w:rsid w:val="4B565BEC"/>
    <w:rsid w:val="4B72A66D"/>
    <w:rsid w:val="4B740CFC"/>
    <w:rsid w:val="4B7C4EEF"/>
    <w:rsid w:val="4BB35DB9"/>
    <w:rsid w:val="4BBD4184"/>
    <w:rsid w:val="4BD6439C"/>
    <w:rsid w:val="4BD9E290"/>
    <w:rsid w:val="4BFF5FA5"/>
    <w:rsid w:val="4C674CDF"/>
    <w:rsid w:val="4C7F4DBA"/>
    <w:rsid w:val="4CD0143D"/>
    <w:rsid w:val="4CDE4BBC"/>
    <w:rsid w:val="4CFDE816"/>
    <w:rsid w:val="4CFF9CBF"/>
    <w:rsid w:val="4D3EA01A"/>
    <w:rsid w:val="4D4B303F"/>
    <w:rsid w:val="4D673998"/>
    <w:rsid w:val="4D976F33"/>
    <w:rsid w:val="4DAE6077"/>
    <w:rsid w:val="4DDB45BE"/>
    <w:rsid w:val="4DE26560"/>
    <w:rsid w:val="4DED38BA"/>
    <w:rsid w:val="4DEDFFB5"/>
    <w:rsid w:val="4E2326D3"/>
    <w:rsid w:val="4E3F21D2"/>
    <w:rsid w:val="4E582E6E"/>
    <w:rsid w:val="4E5FCBA4"/>
    <w:rsid w:val="4E7FF2EF"/>
    <w:rsid w:val="4EBB5A02"/>
    <w:rsid w:val="4EF63239"/>
    <w:rsid w:val="4F6F2D50"/>
    <w:rsid w:val="4F766BD7"/>
    <w:rsid w:val="4F773267"/>
    <w:rsid w:val="4F7F750C"/>
    <w:rsid w:val="4F7F76D4"/>
    <w:rsid w:val="4FA61ABB"/>
    <w:rsid w:val="4FAA10EE"/>
    <w:rsid w:val="4FB77E0E"/>
    <w:rsid w:val="4FD74A32"/>
    <w:rsid w:val="4FDBFC55"/>
    <w:rsid w:val="4FDF5F26"/>
    <w:rsid w:val="4FEB9EC4"/>
    <w:rsid w:val="4FF82B14"/>
    <w:rsid w:val="4FFF6073"/>
    <w:rsid w:val="4FFFD660"/>
    <w:rsid w:val="505AFC8E"/>
    <w:rsid w:val="5070767B"/>
    <w:rsid w:val="5093277A"/>
    <w:rsid w:val="50FD5E31"/>
    <w:rsid w:val="51430D81"/>
    <w:rsid w:val="51FED7AB"/>
    <w:rsid w:val="526ECD52"/>
    <w:rsid w:val="52A7F509"/>
    <w:rsid w:val="532751CC"/>
    <w:rsid w:val="53754A88"/>
    <w:rsid w:val="537FE782"/>
    <w:rsid w:val="5388568B"/>
    <w:rsid w:val="5399576D"/>
    <w:rsid w:val="53B37AA6"/>
    <w:rsid w:val="53B648E7"/>
    <w:rsid w:val="53CA4D03"/>
    <w:rsid w:val="54694058"/>
    <w:rsid w:val="5491426C"/>
    <w:rsid w:val="54FC6BE5"/>
    <w:rsid w:val="551D14C7"/>
    <w:rsid w:val="553F00B5"/>
    <w:rsid w:val="55850C35"/>
    <w:rsid w:val="55BB1CA5"/>
    <w:rsid w:val="55F2C435"/>
    <w:rsid w:val="55FB85A5"/>
    <w:rsid w:val="55FD6E5E"/>
    <w:rsid w:val="563F302D"/>
    <w:rsid w:val="56619CBD"/>
    <w:rsid w:val="56B38E91"/>
    <w:rsid w:val="56EE6FDC"/>
    <w:rsid w:val="56EF93D1"/>
    <w:rsid w:val="56F6B638"/>
    <w:rsid w:val="56FFF51C"/>
    <w:rsid w:val="575E7543"/>
    <w:rsid w:val="576FBCA4"/>
    <w:rsid w:val="57825BC4"/>
    <w:rsid w:val="578E112A"/>
    <w:rsid w:val="578F5379"/>
    <w:rsid w:val="57AB7EF1"/>
    <w:rsid w:val="57B3EC8E"/>
    <w:rsid w:val="57BFE2C8"/>
    <w:rsid w:val="57C7E8A6"/>
    <w:rsid w:val="57DA1B8E"/>
    <w:rsid w:val="57DB68FE"/>
    <w:rsid w:val="57DF7F3D"/>
    <w:rsid w:val="581E3DEA"/>
    <w:rsid w:val="585D7A04"/>
    <w:rsid w:val="58C2D695"/>
    <w:rsid w:val="58D04080"/>
    <w:rsid w:val="58E47C97"/>
    <w:rsid w:val="58F33B91"/>
    <w:rsid w:val="58FF12A4"/>
    <w:rsid w:val="59FB4E19"/>
    <w:rsid w:val="5A0663FE"/>
    <w:rsid w:val="5A18323F"/>
    <w:rsid w:val="5AF39915"/>
    <w:rsid w:val="5AF8AE87"/>
    <w:rsid w:val="5AF97F56"/>
    <w:rsid w:val="5AFB4C8B"/>
    <w:rsid w:val="5AFFD7EA"/>
    <w:rsid w:val="5B252630"/>
    <w:rsid w:val="5B3FFCAD"/>
    <w:rsid w:val="5B5BDFEA"/>
    <w:rsid w:val="5B5FFED0"/>
    <w:rsid w:val="5B7EC816"/>
    <w:rsid w:val="5B7F92E4"/>
    <w:rsid w:val="5B8C7B46"/>
    <w:rsid w:val="5BDEF32D"/>
    <w:rsid w:val="5BE0656A"/>
    <w:rsid w:val="5BE78538"/>
    <w:rsid w:val="5BED649C"/>
    <w:rsid w:val="5BEF5B0A"/>
    <w:rsid w:val="5BFB7456"/>
    <w:rsid w:val="5BFBC740"/>
    <w:rsid w:val="5BFDCFDA"/>
    <w:rsid w:val="5C1D5051"/>
    <w:rsid w:val="5C4707EB"/>
    <w:rsid w:val="5C9B4143"/>
    <w:rsid w:val="5CDF6465"/>
    <w:rsid w:val="5CEE67AF"/>
    <w:rsid w:val="5CF2473B"/>
    <w:rsid w:val="5CFF556A"/>
    <w:rsid w:val="5D47758B"/>
    <w:rsid w:val="5D6B0841"/>
    <w:rsid w:val="5D7FBD56"/>
    <w:rsid w:val="5D7FE682"/>
    <w:rsid w:val="5DCF62D5"/>
    <w:rsid w:val="5DDC46DF"/>
    <w:rsid w:val="5DDD9401"/>
    <w:rsid w:val="5DDF381C"/>
    <w:rsid w:val="5DE6E343"/>
    <w:rsid w:val="5DEEAC89"/>
    <w:rsid w:val="5DF6CCCD"/>
    <w:rsid w:val="5DF74420"/>
    <w:rsid w:val="5DFB7963"/>
    <w:rsid w:val="5DFE86E6"/>
    <w:rsid w:val="5DFF0B38"/>
    <w:rsid w:val="5DFF0C67"/>
    <w:rsid w:val="5DFF6CDD"/>
    <w:rsid w:val="5E0C72A6"/>
    <w:rsid w:val="5E227A67"/>
    <w:rsid w:val="5E6ADBD3"/>
    <w:rsid w:val="5E6EBF7C"/>
    <w:rsid w:val="5E6FF445"/>
    <w:rsid w:val="5E77E0D9"/>
    <w:rsid w:val="5E7F5DCE"/>
    <w:rsid w:val="5EC335FA"/>
    <w:rsid w:val="5ED1AB29"/>
    <w:rsid w:val="5ED660AD"/>
    <w:rsid w:val="5EDBD291"/>
    <w:rsid w:val="5EDFE76F"/>
    <w:rsid w:val="5EE61772"/>
    <w:rsid w:val="5EEA33B5"/>
    <w:rsid w:val="5EF5FE40"/>
    <w:rsid w:val="5EFA7CCD"/>
    <w:rsid w:val="5EFC373A"/>
    <w:rsid w:val="5EFDE1E2"/>
    <w:rsid w:val="5EFF6E45"/>
    <w:rsid w:val="5F19101F"/>
    <w:rsid w:val="5F2E9BDE"/>
    <w:rsid w:val="5F37899D"/>
    <w:rsid w:val="5F461E67"/>
    <w:rsid w:val="5F4F4DF3"/>
    <w:rsid w:val="5F4FEB74"/>
    <w:rsid w:val="5F5B4081"/>
    <w:rsid w:val="5F6E76DE"/>
    <w:rsid w:val="5F6F55D0"/>
    <w:rsid w:val="5F71D365"/>
    <w:rsid w:val="5F763F81"/>
    <w:rsid w:val="5F7A5B97"/>
    <w:rsid w:val="5F7DAB57"/>
    <w:rsid w:val="5F8F17E8"/>
    <w:rsid w:val="5F8F511F"/>
    <w:rsid w:val="5F9F1263"/>
    <w:rsid w:val="5FA1893D"/>
    <w:rsid w:val="5FAFF692"/>
    <w:rsid w:val="5FB3FA9E"/>
    <w:rsid w:val="5FB7DA86"/>
    <w:rsid w:val="5FBF72F2"/>
    <w:rsid w:val="5FD72051"/>
    <w:rsid w:val="5FDEC5DB"/>
    <w:rsid w:val="5FDF88E7"/>
    <w:rsid w:val="5FED0E04"/>
    <w:rsid w:val="5FF39E9F"/>
    <w:rsid w:val="5FF61A74"/>
    <w:rsid w:val="5FFADDA5"/>
    <w:rsid w:val="5FFB2545"/>
    <w:rsid w:val="5FFD8387"/>
    <w:rsid w:val="5FFE6D3E"/>
    <w:rsid w:val="5FFF11BA"/>
    <w:rsid w:val="5FFF5A4D"/>
    <w:rsid w:val="5FFF5B9F"/>
    <w:rsid w:val="5FFFA368"/>
    <w:rsid w:val="5FFFFA69"/>
    <w:rsid w:val="6038054E"/>
    <w:rsid w:val="60E40839"/>
    <w:rsid w:val="61105D6D"/>
    <w:rsid w:val="613E68F8"/>
    <w:rsid w:val="616E5F6E"/>
    <w:rsid w:val="61DF1DC6"/>
    <w:rsid w:val="61F0327D"/>
    <w:rsid w:val="62278EBB"/>
    <w:rsid w:val="63DFA061"/>
    <w:rsid w:val="63F6B6C8"/>
    <w:rsid w:val="64AD46C0"/>
    <w:rsid w:val="64FF3E8D"/>
    <w:rsid w:val="65C11E97"/>
    <w:rsid w:val="65F618E5"/>
    <w:rsid w:val="65FA0CF5"/>
    <w:rsid w:val="66A75439"/>
    <w:rsid w:val="66CF6220"/>
    <w:rsid w:val="66DB81E7"/>
    <w:rsid w:val="66FA4F43"/>
    <w:rsid w:val="66FF7294"/>
    <w:rsid w:val="671D5CB1"/>
    <w:rsid w:val="6729DCF0"/>
    <w:rsid w:val="6777105A"/>
    <w:rsid w:val="677FE711"/>
    <w:rsid w:val="679C25D0"/>
    <w:rsid w:val="67D6011E"/>
    <w:rsid w:val="67DF60DA"/>
    <w:rsid w:val="67EE03BE"/>
    <w:rsid w:val="67F6CF50"/>
    <w:rsid w:val="67FF2C51"/>
    <w:rsid w:val="68BC2A27"/>
    <w:rsid w:val="693659B2"/>
    <w:rsid w:val="693C54B4"/>
    <w:rsid w:val="694EF090"/>
    <w:rsid w:val="695F93AD"/>
    <w:rsid w:val="69B27D51"/>
    <w:rsid w:val="69CEA49E"/>
    <w:rsid w:val="69EDA1E7"/>
    <w:rsid w:val="69FE1A10"/>
    <w:rsid w:val="69FF0D05"/>
    <w:rsid w:val="6A3E7998"/>
    <w:rsid w:val="6A4F6B35"/>
    <w:rsid w:val="6AAD6A7D"/>
    <w:rsid w:val="6ACDB9E6"/>
    <w:rsid w:val="6ADB168D"/>
    <w:rsid w:val="6AFFCC47"/>
    <w:rsid w:val="6B2F8C67"/>
    <w:rsid w:val="6BB3202B"/>
    <w:rsid w:val="6BBA4BD8"/>
    <w:rsid w:val="6BC90D29"/>
    <w:rsid w:val="6BDB1624"/>
    <w:rsid w:val="6BDC2A68"/>
    <w:rsid w:val="6BDD26DF"/>
    <w:rsid w:val="6BF3CD80"/>
    <w:rsid w:val="6BF8D5D9"/>
    <w:rsid w:val="6BFB6A89"/>
    <w:rsid w:val="6BFF2A40"/>
    <w:rsid w:val="6BFF6031"/>
    <w:rsid w:val="6BFF88E9"/>
    <w:rsid w:val="6C3D3D36"/>
    <w:rsid w:val="6CD6B081"/>
    <w:rsid w:val="6CF42B82"/>
    <w:rsid w:val="6CF71FF3"/>
    <w:rsid w:val="6CFF6E63"/>
    <w:rsid w:val="6D401315"/>
    <w:rsid w:val="6D7E8868"/>
    <w:rsid w:val="6DBF32DB"/>
    <w:rsid w:val="6DCBB984"/>
    <w:rsid w:val="6DDFC3F7"/>
    <w:rsid w:val="6DEEF2A3"/>
    <w:rsid w:val="6DEF3056"/>
    <w:rsid w:val="6DEF89F2"/>
    <w:rsid w:val="6DF3113B"/>
    <w:rsid w:val="6DFA5C4C"/>
    <w:rsid w:val="6DFC22E3"/>
    <w:rsid w:val="6DFCC3BE"/>
    <w:rsid w:val="6DFD7482"/>
    <w:rsid w:val="6DFFB8CA"/>
    <w:rsid w:val="6E13DAFF"/>
    <w:rsid w:val="6E250820"/>
    <w:rsid w:val="6E392C18"/>
    <w:rsid w:val="6E4E8E46"/>
    <w:rsid w:val="6E6EF022"/>
    <w:rsid w:val="6E736F1C"/>
    <w:rsid w:val="6EA05282"/>
    <w:rsid w:val="6EA975D7"/>
    <w:rsid w:val="6EBE2118"/>
    <w:rsid w:val="6ECF8C85"/>
    <w:rsid w:val="6EF80343"/>
    <w:rsid w:val="6EFF088E"/>
    <w:rsid w:val="6EFF8AEC"/>
    <w:rsid w:val="6F2F46BB"/>
    <w:rsid w:val="6F384149"/>
    <w:rsid w:val="6F5B846A"/>
    <w:rsid w:val="6F63C173"/>
    <w:rsid w:val="6F6BE067"/>
    <w:rsid w:val="6F6D7EB1"/>
    <w:rsid w:val="6F6E32FC"/>
    <w:rsid w:val="6F6F6BE1"/>
    <w:rsid w:val="6F6FBDF7"/>
    <w:rsid w:val="6F707A84"/>
    <w:rsid w:val="6F740AF2"/>
    <w:rsid w:val="6F74A62F"/>
    <w:rsid w:val="6F768095"/>
    <w:rsid w:val="6F774B75"/>
    <w:rsid w:val="6F77D865"/>
    <w:rsid w:val="6F7F8194"/>
    <w:rsid w:val="6F9BD8C0"/>
    <w:rsid w:val="6F9E3357"/>
    <w:rsid w:val="6FA785C5"/>
    <w:rsid w:val="6FAB324B"/>
    <w:rsid w:val="6FAF2720"/>
    <w:rsid w:val="6FBB2E24"/>
    <w:rsid w:val="6FBF048A"/>
    <w:rsid w:val="6FBFBDC1"/>
    <w:rsid w:val="6FD7BAA0"/>
    <w:rsid w:val="6FDB382E"/>
    <w:rsid w:val="6FDC643F"/>
    <w:rsid w:val="6FDD8531"/>
    <w:rsid w:val="6FDD9F44"/>
    <w:rsid w:val="6FDF4253"/>
    <w:rsid w:val="6FDFA3BC"/>
    <w:rsid w:val="6FE61753"/>
    <w:rsid w:val="6FEB2074"/>
    <w:rsid w:val="6FEDFFA9"/>
    <w:rsid w:val="6FEE1817"/>
    <w:rsid w:val="6FEED862"/>
    <w:rsid w:val="6FEF08A8"/>
    <w:rsid w:val="6FF3540D"/>
    <w:rsid w:val="6FF66128"/>
    <w:rsid w:val="6FF7E0BD"/>
    <w:rsid w:val="6FFFB6CB"/>
    <w:rsid w:val="6FFFBCFC"/>
    <w:rsid w:val="6FFFCB66"/>
    <w:rsid w:val="6FFFDF78"/>
    <w:rsid w:val="706A0035"/>
    <w:rsid w:val="70B78B39"/>
    <w:rsid w:val="70FA29DD"/>
    <w:rsid w:val="7102319D"/>
    <w:rsid w:val="71B594A4"/>
    <w:rsid w:val="71FF8C27"/>
    <w:rsid w:val="72DFA69F"/>
    <w:rsid w:val="72FB8175"/>
    <w:rsid w:val="72FBB74D"/>
    <w:rsid w:val="73166A92"/>
    <w:rsid w:val="733662A3"/>
    <w:rsid w:val="739209EB"/>
    <w:rsid w:val="73A32E6B"/>
    <w:rsid w:val="73B7E86D"/>
    <w:rsid w:val="73BC3A9B"/>
    <w:rsid w:val="73CFDE2F"/>
    <w:rsid w:val="73DFBEBC"/>
    <w:rsid w:val="73F65EC6"/>
    <w:rsid w:val="747FD39B"/>
    <w:rsid w:val="74B68F53"/>
    <w:rsid w:val="74FEF794"/>
    <w:rsid w:val="751F6A47"/>
    <w:rsid w:val="75B3E0F2"/>
    <w:rsid w:val="75BDB717"/>
    <w:rsid w:val="75D44111"/>
    <w:rsid w:val="75D94AA3"/>
    <w:rsid w:val="75DFAFDE"/>
    <w:rsid w:val="75E7F884"/>
    <w:rsid w:val="75F78882"/>
    <w:rsid w:val="75F9ABA7"/>
    <w:rsid w:val="75FB6133"/>
    <w:rsid w:val="75FDB13C"/>
    <w:rsid w:val="75FDF143"/>
    <w:rsid w:val="75FEE25D"/>
    <w:rsid w:val="75FF54CF"/>
    <w:rsid w:val="75FF794E"/>
    <w:rsid w:val="762F0E75"/>
    <w:rsid w:val="763C9C04"/>
    <w:rsid w:val="763DEA47"/>
    <w:rsid w:val="765A2607"/>
    <w:rsid w:val="765E0976"/>
    <w:rsid w:val="76702EAC"/>
    <w:rsid w:val="7674BC93"/>
    <w:rsid w:val="767E57F0"/>
    <w:rsid w:val="76A21433"/>
    <w:rsid w:val="76B70BE1"/>
    <w:rsid w:val="76BF9919"/>
    <w:rsid w:val="76D71583"/>
    <w:rsid w:val="76D79DD7"/>
    <w:rsid w:val="76E5A59C"/>
    <w:rsid w:val="76ED00D7"/>
    <w:rsid w:val="76EF7D4C"/>
    <w:rsid w:val="76F3C35D"/>
    <w:rsid w:val="76F5F604"/>
    <w:rsid w:val="76F737AB"/>
    <w:rsid w:val="76F999A4"/>
    <w:rsid w:val="76F9ADB4"/>
    <w:rsid w:val="76FEA863"/>
    <w:rsid w:val="76FEB82A"/>
    <w:rsid w:val="76FF6705"/>
    <w:rsid w:val="773F7F3F"/>
    <w:rsid w:val="776D2E2C"/>
    <w:rsid w:val="7775438D"/>
    <w:rsid w:val="7777AB1B"/>
    <w:rsid w:val="777B21F5"/>
    <w:rsid w:val="777FAE23"/>
    <w:rsid w:val="779A8D99"/>
    <w:rsid w:val="77BA320F"/>
    <w:rsid w:val="77BD3AE2"/>
    <w:rsid w:val="77BDB5B9"/>
    <w:rsid w:val="77CF658B"/>
    <w:rsid w:val="77D65C29"/>
    <w:rsid w:val="77DDF7F8"/>
    <w:rsid w:val="77DF8318"/>
    <w:rsid w:val="77E9AE6E"/>
    <w:rsid w:val="77EF1CD4"/>
    <w:rsid w:val="77F5B5F4"/>
    <w:rsid w:val="77F7705B"/>
    <w:rsid w:val="77F7CC41"/>
    <w:rsid w:val="77F9A766"/>
    <w:rsid w:val="77FB09DC"/>
    <w:rsid w:val="77FB533F"/>
    <w:rsid w:val="77FB8680"/>
    <w:rsid w:val="77FEA6D2"/>
    <w:rsid w:val="77FED73B"/>
    <w:rsid w:val="77FF3B68"/>
    <w:rsid w:val="77FFD086"/>
    <w:rsid w:val="78756DE2"/>
    <w:rsid w:val="787FED69"/>
    <w:rsid w:val="78B729F5"/>
    <w:rsid w:val="78C83FC7"/>
    <w:rsid w:val="78D79B69"/>
    <w:rsid w:val="78ED679F"/>
    <w:rsid w:val="78F423EC"/>
    <w:rsid w:val="78FB41FA"/>
    <w:rsid w:val="78FD2A8B"/>
    <w:rsid w:val="78FF8697"/>
    <w:rsid w:val="78FFB134"/>
    <w:rsid w:val="78FFBEF5"/>
    <w:rsid w:val="79575AB4"/>
    <w:rsid w:val="795F26EE"/>
    <w:rsid w:val="797905E9"/>
    <w:rsid w:val="79A32DF9"/>
    <w:rsid w:val="79AB91EF"/>
    <w:rsid w:val="79B6B2A4"/>
    <w:rsid w:val="79BF2276"/>
    <w:rsid w:val="79C79CDB"/>
    <w:rsid w:val="79EF0D4B"/>
    <w:rsid w:val="79FBC24F"/>
    <w:rsid w:val="7A2F819C"/>
    <w:rsid w:val="7A6FAE9A"/>
    <w:rsid w:val="7A8F4DE9"/>
    <w:rsid w:val="7A9C7118"/>
    <w:rsid w:val="7AB142CE"/>
    <w:rsid w:val="7ABB1957"/>
    <w:rsid w:val="7ACE1852"/>
    <w:rsid w:val="7ADA8167"/>
    <w:rsid w:val="7ADF3FA5"/>
    <w:rsid w:val="7AE783FC"/>
    <w:rsid w:val="7AF99823"/>
    <w:rsid w:val="7AFA1B3B"/>
    <w:rsid w:val="7AFB576F"/>
    <w:rsid w:val="7AFC2EC6"/>
    <w:rsid w:val="7AFFCC96"/>
    <w:rsid w:val="7B2F4C23"/>
    <w:rsid w:val="7B2FE528"/>
    <w:rsid w:val="7B3636D0"/>
    <w:rsid w:val="7B4FE2EB"/>
    <w:rsid w:val="7B5C9EAE"/>
    <w:rsid w:val="7B679D8D"/>
    <w:rsid w:val="7B77135D"/>
    <w:rsid w:val="7B773D49"/>
    <w:rsid w:val="7B7F4EFB"/>
    <w:rsid w:val="7B7FB788"/>
    <w:rsid w:val="7B892154"/>
    <w:rsid w:val="7B8F1B74"/>
    <w:rsid w:val="7B9C105E"/>
    <w:rsid w:val="7BA75DC7"/>
    <w:rsid w:val="7BAF3C85"/>
    <w:rsid w:val="7BB72D31"/>
    <w:rsid w:val="7BB7408A"/>
    <w:rsid w:val="7BB741EA"/>
    <w:rsid w:val="7BBF69DC"/>
    <w:rsid w:val="7BC5BD7F"/>
    <w:rsid w:val="7BCBDB75"/>
    <w:rsid w:val="7BDBAB9B"/>
    <w:rsid w:val="7BE598C7"/>
    <w:rsid w:val="7BEBB49F"/>
    <w:rsid w:val="7BEBB7FA"/>
    <w:rsid w:val="7BEBE330"/>
    <w:rsid w:val="7BEF5E12"/>
    <w:rsid w:val="7BF4580A"/>
    <w:rsid w:val="7BF67E96"/>
    <w:rsid w:val="7BFAF382"/>
    <w:rsid w:val="7BFB8091"/>
    <w:rsid w:val="7BFF849B"/>
    <w:rsid w:val="7BFF86DE"/>
    <w:rsid w:val="7BFFB259"/>
    <w:rsid w:val="7BFFC245"/>
    <w:rsid w:val="7C8E795D"/>
    <w:rsid w:val="7CAF0B62"/>
    <w:rsid w:val="7CCADACD"/>
    <w:rsid w:val="7CF396DE"/>
    <w:rsid w:val="7CF9834A"/>
    <w:rsid w:val="7CFBDE1B"/>
    <w:rsid w:val="7CFDDB2C"/>
    <w:rsid w:val="7CFF4814"/>
    <w:rsid w:val="7CFF9B19"/>
    <w:rsid w:val="7CFFFBA8"/>
    <w:rsid w:val="7D23C0EA"/>
    <w:rsid w:val="7D2D228F"/>
    <w:rsid w:val="7D3ED375"/>
    <w:rsid w:val="7D3FDA98"/>
    <w:rsid w:val="7D5F5406"/>
    <w:rsid w:val="7D75234E"/>
    <w:rsid w:val="7D75A00F"/>
    <w:rsid w:val="7D7F6A5B"/>
    <w:rsid w:val="7D992179"/>
    <w:rsid w:val="7D9BBE7C"/>
    <w:rsid w:val="7D9CFD98"/>
    <w:rsid w:val="7DCC68DB"/>
    <w:rsid w:val="7DCD8825"/>
    <w:rsid w:val="7DCF8F0C"/>
    <w:rsid w:val="7DD60A06"/>
    <w:rsid w:val="7DDC49DD"/>
    <w:rsid w:val="7DDF2F24"/>
    <w:rsid w:val="7DDF6447"/>
    <w:rsid w:val="7DED2943"/>
    <w:rsid w:val="7DEF066B"/>
    <w:rsid w:val="7DF31999"/>
    <w:rsid w:val="7DF6A9CD"/>
    <w:rsid w:val="7DF7FF6F"/>
    <w:rsid w:val="7DFB2D34"/>
    <w:rsid w:val="7DFBA0DE"/>
    <w:rsid w:val="7DFE3449"/>
    <w:rsid w:val="7DFE689B"/>
    <w:rsid w:val="7DFE820E"/>
    <w:rsid w:val="7DFE91E7"/>
    <w:rsid w:val="7DFED37E"/>
    <w:rsid w:val="7DFF45DD"/>
    <w:rsid w:val="7E0420E4"/>
    <w:rsid w:val="7E16FF05"/>
    <w:rsid w:val="7E6C3046"/>
    <w:rsid w:val="7E6DC7EC"/>
    <w:rsid w:val="7E77DD3A"/>
    <w:rsid w:val="7E7E81C4"/>
    <w:rsid w:val="7E7F15F8"/>
    <w:rsid w:val="7E7F8795"/>
    <w:rsid w:val="7E8F6F2B"/>
    <w:rsid w:val="7EA948F1"/>
    <w:rsid w:val="7EAD4E86"/>
    <w:rsid w:val="7EB28665"/>
    <w:rsid w:val="7EB6E0D0"/>
    <w:rsid w:val="7EBF01C0"/>
    <w:rsid w:val="7EBF3369"/>
    <w:rsid w:val="7EBFB53B"/>
    <w:rsid w:val="7ECF2C02"/>
    <w:rsid w:val="7ED3D70C"/>
    <w:rsid w:val="7ED5111A"/>
    <w:rsid w:val="7ED5BC68"/>
    <w:rsid w:val="7EDDEB1B"/>
    <w:rsid w:val="7EE516DC"/>
    <w:rsid w:val="7EE51993"/>
    <w:rsid w:val="7EE6A6B6"/>
    <w:rsid w:val="7EEDC4E6"/>
    <w:rsid w:val="7EEEB387"/>
    <w:rsid w:val="7EEF5E7D"/>
    <w:rsid w:val="7EEF8860"/>
    <w:rsid w:val="7EF97E00"/>
    <w:rsid w:val="7EF9E403"/>
    <w:rsid w:val="7EFB477C"/>
    <w:rsid w:val="7EFBC132"/>
    <w:rsid w:val="7EFBC6B1"/>
    <w:rsid w:val="7EFD4883"/>
    <w:rsid w:val="7EFD6455"/>
    <w:rsid w:val="7EFDDDC0"/>
    <w:rsid w:val="7EFED9E9"/>
    <w:rsid w:val="7EFF052D"/>
    <w:rsid w:val="7EFF68B1"/>
    <w:rsid w:val="7EFF7DD8"/>
    <w:rsid w:val="7EFFD20A"/>
    <w:rsid w:val="7F0F1466"/>
    <w:rsid w:val="7F17CF60"/>
    <w:rsid w:val="7F3E8EF0"/>
    <w:rsid w:val="7F3EDB49"/>
    <w:rsid w:val="7F3F5FBB"/>
    <w:rsid w:val="7F4D358C"/>
    <w:rsid w:val="7F539A73"/>
    <w:rsid w:val="7F56CED8"/>
    <w:rsid w:val="7F5D844B"/>
    <w:rsid w:val="7F5EDF50"/>
    <w:rsid w:val="7F5F37DC"/>
    <w:rsid w:val="7F5F72E2"/>
    <w:rsid w:val="7F5F8E5A"/>
    <w:rsid w:val="7F5F923A"/>
    <w:rsid w:val="7F5FB7C3"/>
    <w:rsid w:val="7F648097"/>
    <w:rsid w:val="7F676581"/>
    <w:rsid w:val="7F6BA657"/>
    <w:rsid w:val="7F6E0896"/>
    <w:rsid w:val="7F6FD2CF"/>
    <w:rsid w:val="7F76B3D0"/>
    <w:rsid w:val="7F770029"/>
    <w:rsid w:val="7F7A672E"/>
    <w:rsid w:val="7F7B44EB"/>
    <w:rsid w:val="7F7B6F14"/>
    <w:rsid w:val="7F7D58EC"/>
    <w:rsid w:val="7F7ED60B"/>
    <w:rsid w:val="7F7F1DBE"/>
    <w:rsid w:val="7F7F7E92"/>
    <w:rsid w:val="7F7F91E3"/>
    <w:rsid w:val="7F7FF576"/>
    <w:rsid w:val="7F94BFAA"/>
    <w:rsid w:val="7F9E093A"/>
    <w:rsid w:val="7F9E3BE2"/>
    <w:rsid w:val="7F9F230E"/>
    <w:rsid w:val="7F9F8012"/>
    <w:rsid w:val="7F9F9CAE"/>
    <w:rsid w:val="7FA70ED4"/>
    <w:rsid w:val="7FAD9368"/>
    <w:rsid w:val="7FAEC228"/>
    <w:rsid w:val="7FAF4713"/>
    <w:rsid w:val="7FAF6576"/>
    <w:rsid w:val="7FAF7936"/>
    <w:rsid w:val="7FB0585A"/>
    <w:rsid w:val="7FB76B3E"/>
    <w:rsid w:val="7FB77563"/>
    <w:rsid w:val="7FB7F37F"/>
    <w:rsid w:val="7FB84233"/>
    <w:rsid w:val="7FBB3FC1"/>
    <w:rsid w:val="7FBB4109"/>
    <w:rsid w:val="7FBB5AD0"/>
    <w:rsid w:val="7FBD6C26"/>
    <w:rsid w:val="7FBF4B40"/>
    <w:rsid w:val="7FBF9C67"/>
    <w:rsid w:val="7FBFF290"/>
    <w:rsid w:val="7FBFF8CF"/>
    <w:rsid w:val="7FC7E0F4"/>
    <w:rsid w:val="7FCD26BF"/>
    <w:rsid w:val="7FCF262B"/>
    <w:rsid w:val="7FCFB380"/>
    <w:rsid w:val="7FD72AA1"/>
    <w:rsid w:val="7FDB0B77"/>
    <w:rsid w:val="7FDB247C"/>
    <w:rsid w:val="7FDB771A"/>
    <w:rsid w:val="7FDD57BE"/>
    <w:rsid w:val="7FDD8A0D"/>
    <w:rsid w:val="7FDE09E6"/>
    <w:rsid w:val="7FDF292F"/>
    <w:rsid w:val="7FDF8463"/>
    <w:rsid w:val="7FDFAC2C"/>
    <w:rsid w:val="7FDFF6A2"/>
    <w:rsid w:val="7FE389C0"/>
    <w:rsid w:val="7FE6155A"/>
    <w:rsid w:val="7FE77D50"/>
    <w:rsid w:val="7FEA01C8"/>
    <w:rsid w:val="7FED2E34"/>
    <w:rsid w:val="7FEE20B1"/>
    <w:rsid w:val="7FEE4C43"/>
    <w:rsid w:val="7FEE62B6"/>
    <w:rsid w:val="7FEF14FC"/>
    <w:rsid w:val="7FEF60C3"/>
    <w:rsid w:val="7FEFCD8C"/>
    <w:rsid w:val="7FF33029"/>
    <w:rsid w:val="7FF35F81"/>
    <w:rsid w:val="7FF4B67D"/>
    <w:rsid w:val="7FF4E318"/>
    <w:rsid w:val="7FF5006C"/>
    <w:rsid w:val="7FF53A6D"/>
    <w:rsid w:val="7FF69199"/>
    <w:rsid w:val="7FF787CF"/>
    <w:rsid w:val="7FF794F0"/>
    <w:rsid w:val="7FF7F17C"/>
    <w:rsid w:val="7FF8C2BD"/>
    <w:rsid w:val="7FFB95AE"/>
    <w:rsid w:val="7FFB9D09"/>
    <w:rsid w:val="7FFBAD9C"/>
    <w:rsid w:val="7FFBDE2F"/>
    <w:rsid w:val="7FFCFE37"/>
    <w:rsid w:val="7FFD0EEF"/>
    <w:rsid w:val="7FFD49CA"/>
    <w:rsid w:val="7FFD59FE"/>
    <w:rsid w:val="7FFDCC46"/>
    <w:rsid w:val="7FFDCFE4"/>
    <w:rsid w:val="7FFE3D7A"/>
    <w:rsid w:val="7FFF131D"/>
    <w:rsid w:val="7FFF25A4"/>
    <w:rsid w:val="7FFF3EBB"/>
    <w:rsid w:val="7FFF999C"/>
    <w:rsid w:val="7FFFA7C0"/>
    <w:rsid w:val="7FFFB08B"/>
    <w:rsid w:val="7FFFCE6E"/>
    <w:rsid w:val="7FFFDD13"/>
    <w:rsid w:val="83773796"/>
    <w:rsid w:val="87FE9EA8"/>
    <w:rsid w:val="89B9B81A"/>
    <w:rsid w:val="8B79E164"/>
    <w:rsid w:val="8BF74747"/>
    <w:rsid w:val="8C97B679"/>
    <w:rsid w:val="8DE11167"/>
    <w:rsid w:val="8DFF07EC"/>
    <w:rsid w:val="8E7F5961"/>
    <w:rsid w:val="8EEAFF61"/>
    <w:rsid w:val="8F0E082F"/>
    <w:rsid w:val="8F7F8BBE"/>
    <w:rsid w:val="8FD91B9B"/>
    <w:rsid w:val="8FFD634D"/>
    <w:rsid w:val="90FD67A6"/>
    <w:rsid w:val="93B6DCF9"/>
    <w:rsid w:val="93ED7A6F"/>
    <w:rsid w:val="96F7601C"/>
    <w:rsid w:val="973D58DD"/>
    <w:rsid w:val="973FFE58"/>
    <w:rsid w:val="97AD421F"/>
    <w:rsid w:val="97B7C63F"/>
    <w:rsid w:val="97F3F71F"/>
    <w:rsid w:val="97FB6EB4"/>
    <w:rsid w:val="97FE2CB8"/>
    <w:rsid w:val="9977D05A"/>
    <w:rsid w:val="99B7B451"/>
    <w:rsid w:val="9AB5B655"/>
    <w:rsid w:val="9B7B5415"/>
    <w:rsid w:val="9B7B68BC"/>
    <w:rsid w:val="9BFDCAF2"/>
    <w:rsid w:val="9BFFF277"/>
    <w:rsid w:val="9CFF08CF"/>
    <w:rsid w:val="9D4B5CFF"/>
    <w:rsid w:val="9DBD03CF"/>
    <w:rsid w:val="9DFE2106"/>
    <w:rsid w:val="9E9D2957"/>
    <w:rsid w:val="9EF36AE9"/>
    <w:rsid w:val="9F3F7732"/>
    <w:rsid w:val="9F5F5272"/>
    <w:rsid w:val="9F67E357"/>
    <w:rsid w:val="9F757731"/>
    <w:rsid w:val="9F778060"/>
    <w:rsid w:val="9F7FB6A8"/>
    <w:rsid w:val="9F7FDD13"/>
    <w:rsid w:val="9FBDAEB2"/>
    <w:rsid w:val="9FC78896"/>
    <w:rsid w:val="9FF19DDF"/>
    <w:rsid w:val="9FF3F44D"/>
    <w:rsid w:val="9FFAF4CD"/>
    <w:rsid w:val="9FFF18D3"/>
    <w:rsid w:val="9FFF3759"/>
    <w:rsid w:val="9FFFAC0C"/>
    <w:rsid w:val="A3777BEE"/>
    <w:rsid w:val="A39F6528"/>
    <w:rsid w:val="A3F926CD"/>
    <w:rsid w:val="A6F13DF3"/>
    <w:rsid w:val="A77DD0AF"/>
    <w:rsid w:val="A79A6A36"/>
    <w:rsid w:val="A7C290A5"/>
    <w:rsid w:val="A7D574DA"/>
    <w:rsid w:val="A9F7A698"/>
    <w:rsid w:val="ABED1F2F"/>
    <w:rsid w:val="AC7B8029"/>
    <w:rsid w:val="AD6FBA22"/>
    <w:rsid w:val="AD7FFF06"/>
    <w:rsid w:val="AD9709D8"/>
    <w:rsid w:val="ADEFE6D8"/>
    <w:rsid w:val="AE7BCA4D"/>
    <w:rsid w:val="AE9331AE"/>
    <w:rsid w:val="AEBF5B3E"/>
    <w:rsid w:val="AEBFC45B"/>
    <w:rsid w:val="AED82772"/>
    <w:rsid w:val="AEEE5873"/>
    <w:rsid w:val="AEF7FCC4"/>
    <w:rsid w:val="AEFEEFD3"/>
    <w:rsid w:val="AF3ACBDC"/>
    <w:rsid w:val="AF7CEC0E"/>
    <w:rsid w:val="AFB762E3"/>
    <w:rsid w:val="AFE6FE8E"/>
    <w:rsid w:val="AFED053A"/>
    <w:rsid w:val="AFEDFC5D"/>
    <w:rsid w:val="AFEFAF0E"/>
    <w:rsid w:val="AFEFF49B"/>
    <w:rsid w:val="AFFA76EE"/>
    <w:rsid w:val="AFFC24B1"/>
    <w:rsid w:val="AFFE0B11"/>
    <w:rsid w:val="AFFF39C9"/>
    <w:rsid w:val="AFFF731B"/>
    <w:rsid w:val="B0FD60F9"/>
    <w:rsid w:val="B13B2274"/>
    <w:rsid w:val="B2F96ED1"/>
    <w:rsid w:val="B33206F2"/>
    <w:rsid w:val="B3A8CF28"/>
    <w:rsid w:val="B3EEC89F"/>
    <w:rsid w:val="B437969C"/>
    <w:rsid w:val="B4BFC49F"/>
    <w:rsid w:val="B567CA70"/>
    <w:rsid w:val="B5BFD15E"/>
    <w:rsid w:val="B5DD285F"/>
    <w:rsid w:val="B5EE4F1F"/>
    <w:rsid w:val="B5F81997"/>
    <w:rsid w:val="B5FA90DE"/>
    <w:rsid w:val="B6B69735"/>
    <w:rsid w:val="B71F23B3"/>
    <w:rsid w:val="B76DEB8B"/>
    <w:rsid w:val="B797B5CA"/>
    <w:rsid w:val="B7A9388B"/>
    <w:rsid w:val="B7CFB66F"/>
    <w:rsid w:val="B7CFC705"/>
    <w:rsid w:val="B7DAFDE4"/>
    <w:rsid w:val="B7E739A2"/>
    <w:rsid w:val="B7F622A2"/>
    <w:rsid w:val="B7FE28F9"/>
    <w:rsid w:val="B7FF0B1A"/>
    <w:rsid w:val="B8DF0F0A"/>
    <w:rsid w:val="B8FC4078"/>
    <w:rsid w:val="B967D565"/>
    <w:rsid w:val="B97F44C5"/>
    <w:rsid w:val="B9AFD50A"/>
    <w:rsid w:val="B9F50596"/>
    <w:rsid w:val="B9FB3F8E"/>
    <w:rsid w:val="BA2E8525"/>
    <w:rsid w:val="BA7B23C6"/>
    <w:rsid w:val="BAD79A3C"/>
    <w:rsid w:val="BADE4633"/>
    <w:rsid w:val="BB1F391A"/>
    <w:rsid w:val="BB456538"/>
    <w:rsid w:val="BB57D944"/>
    <w:rsid w:val="BB6AA449"/>
    <w:rsid w:val="BB7F0944"/>
    <w:rsid w:val="BB8C6BDB"/>
    <w:rsid w:val="BB9EF543"/>
    <w:rsid w:val="BBA7DB57"/>
    <w:rsid w:val="BBAFA3DB"/>
    <w:rsid w:val="BBBFC997"/>
    <w:rsid w:val="BBC6BD2A"/>
    <w:rsid w:val="BBD91736"/>
    <w:rsid w:val="BBEF92F3"/>
    <w:rsid w:val="BBFCD1CB"/>
    <w:rsid w:val="BCBF846B"/>
    <w:rsid w:val="BCFF3266"/>
    <w:rsid w:val="BD76807C"/>
    <w:rsid w:val="BDBDC860"/>
    <w:rsid w:val="BDCFB132"/>
    <w:rsid w:val="BDEE26A2"/>
    <w:rsid w:val="BDFFD335"/>
    <w:rsid w:val="BE578EFC"/>
    <w:rsid w:val="BE5E6BC8"/>
    <w:rsid w:val="BE7D95D1"/>
    <w:rsid w:val="BE7EF0F1"/>
    <w:rsid w:val="BEAB41A6"/>
    <w:rsid w:val="BEBF049D"/>
    <w:rsid w:val="BEDABEBC"/>
    <w:rsid w:val="BEDB3EF6"/>
    <w:rsid w:val="BEDB7A22"/>
    <w:rsid w:val="BEDB9ECC"/>
    <w:rsid w:val="BEEF8A26"/>
    <w:rsid w:val="BEF6359F"/>
    <w:rsid w:val="BEF7088A"/>
    <w:rsid w:val="BEFB9D25"/>
    <w:rsid w:val="BEFF1269"/>
    <w:rsid w:val="BF0FD34B"/>
    <w:rsid w:val="BF4745EE"/>
    <w:rsid w:val="BF5F90D7"/>
    <w:rsid w:val="BF6D8009"/>
    <w:rsid w:val="BF77D84A"/>
    <w:rsid w:val="BF795C6D"/>
    <w:rsid w:val="BF7B1C41"/>
    <w:rsid w:val="BF7ED1C3"/>
    <w:rsid w:val="BF7F670D"/>
    <w:rsid w:val="BF97E3F2"/>
    <w:rsid w:val="BFAEF0AB"/>
    <w:rsid w:val="BFBDC547"/>
    <w:rsid w:val="BFBED503"/>
    <w:rsid w:val="BFBF2CF1"/>
    <w:rsid w:val="BFBFA1F0"/>
    <w:rsid w:val="BFCB306E"/>
    <w:rsid w:val="BFDF9B86"/>
    <w:rsid w:val="BFEEE58A"/>
    <w:rsid w:val="BFEFEF3E"/>
    <w:rsid w:val="BFF3DB52"/>
    <w:rsid w:val="BFF3E192"/>
    <w:rsid w:val="BFF780EB"/>
    <w:rsid w:val="BFFC2969"/>
    <w:rsid w:val="BFFC5071"/>
    <w:rsid w:val="BFFD9E14"/>
    <w:rsid w:val="BFFDECF3"/>
    <w:rsid w:val="BFFDF402"/>
    <w:rsid w:val="BFFE810A"/>
    <w:rsid w:val="BFFF3A16"/>
    <w:rsid w:val="BFFF4E92"/>
    <w:rsid w:val="BFFFB0F5"/>
    <w:rsid w:val="BFFFBFC8"/>
    <w:rsid w:val="BFFFCB01"/>
    <w:rsid w:val="C36FC2C3"/>
    <w:rsid w:val="C3B5484B"/>
    <w:rsid w:val="C3FCCE93"/>
    <w:rsid w:val="C5DD068C"/>
    <w:rsid w:val="C5FF1191"/>
    <w:rsid w:val="C6DB1B05"/>
    <w:rsid w:val="C6FA0F4C"/>
    <w:rsid w:val="C75D8575"/>
    <w:rsid w:val="C7FE57FA"/>
    <w:rsid w:val="C7FF961A"/>
    <w:rsid w:val="CAFAC96D"/>
    <w:rsid w:val="CBAE2EAC"/>
    <w:rsid w:val="CBC71CB7"/>
    <w:rsid w:val="CBD3B548"/>
    <w:rsid w:val="CBDDA95A"/>
    <w:rsid w:val="CBF7F4B5"/>
    <w:rsid w:val="CDDFAFB6"/>
    <w:rsid w:val="CDEB7051"/>
    <w:rsid w:val="CDEF7C63"/>
    <w:rsid w:val="CE357B36"/>
    <w:rsid w:val="CE368343"/>
    <w:rsid w:val="CEB9EF85"/>
    <w:rsid w:val="CEDFDDA6"/>
    <w:rsid w:val="CFB7F341"/>
    <w:rsid w:val="CFDB6EF0"/>
    <w:rsid w:val="CFE8AF94"/>
    <w:rsid w:val="CFFFA0BC"/>
    <w:rsid w:val="CFFFB4BC"/>
    <w:rsid w:val="D16FBDDD"/>
    <w:rsid w:val="D1F963F6"/>
    <w:rsid w:val="D277D48E"/>
    <w:rsid w:val="D2D79FAA"/>
    <w:rsid w:val="D2DC63AF"/>
    <w:rsid w:val="D2F5F55B"/>
    <w:rsid w:val="D3AD7742"/>
    <w:rsid w:val="D3DEB267"/>
    <w:rsid w:val="D3F73891"/>
    <w:rsid w:val="D3FBA1CE"/>
    <w:rsid w:val="D3FF76A2"/>
    <w:rsid w:val="D3FFE7D4"/>
    <w:rsid w:val="D4F79E5D"/>
    <w:rsid w:val="D5FECCC6"/>
    <w:rsid w:val="D5FFDE06"/>
    <w:rsid w:val="D67F8BA0"/>
    <w:rsid w:val="D6AD25E3"/>
    <w:rsid w:val="D6BFA9E1"/>
    <w:rsid w:val="D6DBE825"/>
    <w:rsid w:val="D6EBCD51"/>
    <w:rsid w:val="D6FF472E"/>
    <w:rsid w:val="D75E2C11"/>
    <w:rsid w:val="D75F0E3A"/>
    <w:rsid w:val="D76FE03B"/>
    <w:rsid w:val="D77FBB9F"/>
    <w:rsid w:val="D7B237F8"/>
    <w:rsid w:val="D7B8435B"/>
    <w:rsid w:val="D7BB38CE"/>
    <w:rsid w:val="D7BBF2D3"/>
    <w:rsid w:val="D7BE4E46"/>
    <w:rsid w:val="D7BF52D6"/>
    <w:rsid w:val="D7D0CA28"/>
    <w:rsid w:val="D7E7BA14"/>
    <w:rsid w:val="D7ED5E75"/>
    <w:rsid w:val="D7EE1E30"/>
    <w:rsid w:val="D7F7607C"/>
    <w:rsid w:val="D7FCD801"/>
    <w:rsid w:val="D7FE68D1"/>
    <w:rsid w:val="D7FFFB89"/>
    <w:rsid w:val="D95D14BC"/>
    <w:rsid w:val="D971EBF8"/>
    <w:rsid w:val="DA7D4D43"/>
    <w:rsid w:val="DA9F20CB"/>
    <w:rsid w:val="DADFB59C"/>
    <w:rsid w:val="DAEFDC95"/>
    <w:rsid w:val="DB4B0140"/>
    <w:rsid w:val="DB573112"/>
    <w:rsid w:val="DB6F36EB"/>
    <w:rsid w:val="DB6F4AED"/>
    <w:rsid w:val="DB7A6BC6"/>
    <w:rsid w:val="DB7BCE71"/>
    <w:rsid w:val="DB7C7740"/>
    <w:rsid w:val="DB7D9DA8"/>
    <w:rsid w:val="DB7FC875"/>
    <w:rsid w:val="DB9F0B7D"/>
    <w:rsid w:val="DB9F7E85"/>
    <w:rsid w:val="DBBDE745"/>
    <w:rsid w:val="DBBFBE40"/>
    <w:rsid w:val="DBCF576E"/>
    <w:rsid w:val="DBDBC631"/>
    <w:rsid w:val="DBDF11A1"/>
    <w:rsid w:val="DBDF27CF"/>
    <w:rsid w:val="DBDFA027"/>
    <w:rsid w:val="DBEF6BFB"/>
    <w:rsid w:val="DCDE4435"/>
    <w:rsid w:val="DCE322AA"/>
    <w:rsid w:val="DCEBDC7A"/>
    <w:rsid w:val="DCEE6D06"/>
    <w:rsid w:val="DCFEBEF7"/>
    <w:rsid w:val="DD7F2B38"/>
    <w:rsid w:val="DD7F2CCB"/>
    <w:rsid w:val="DD9F78C1"/>
    <w:rsid w:val="DDA7568A"/>
    <w:rsid w:val="DDEB05E1"/>
    <w:rsid w:val="DDEB0A05"/>
    <w:rsid w:val="DDF0DB84"/>
    <w:rsid w:val="DDF12D67"/>
    <w:rsid w:val="DDF7FB72"/>
    <w:rsid w:val="DDFA64FE"/>
    <w:rsid w:val="DDFF8E80"/>
    <w:rsid w:val="DE37C256"/>
    <w:rsid w:val="DE5D9FED"/>
    <w:rsid w:val="DE6F67AE"/>
    <w:rsid w:val="DE7D6C1F"/>
    <w:rsid w:val="DE7E7FA2"/>
    <w:rsid w:val="DE7FED85"/>
    <w:rsid w:val="DE812F6E"/>
    <w:rsid w:val="DEA77B08"/>
    <w:rsid w:val="DEC98B2C"/>
    <w:rsid w:val="DEFEE864"/>
    <w:rsid w:val="DEFF72C0"/>
    <w:rsid w:val="DF1F1052"/>
    <w:rsid w:val="DF3F9799"/>
    <w:rsid w:val="DF3FA2E0"/>
    <w:rsid w:val="DF5D396F"/>
    <w:rsid w:val="DF5F2FE0"/>
    <w:rsid w:val="DF6F3BC9"/>
    <w:rsid w:val="DF7DC72E"/>
    <w:rsid w:val="DF7E5AA7"/>
    <w:rsid w:val="DF7F5F29"/>
    <w:rsid w:val="DF8EB52B"/>
    <w:rsid w:val="DF8F4BE6"/>
    <w:rsid w:val="DF8F7764"/>
    <w:rsid w:val="DFA8540A"/>
    <w:rsid w:val="DFAD4541"/>
    <w:rsid w:val="DFAF39BE"/>
    <w:rsid w:val="DFB4481D"/>
    <w:rsid w:val="DFCF7B67"/>
    <w:rsid w:val="DFDFD4B0"/>
    <w:rsid w:val="DFE79191"/>
    <w:rsid w:val="DFEEC419"/>
    <w:rsid w:val="DFF50AE9"/>
    <w:rsid w:val="DFF5DBF6"/>
    <w:rsid w:val="DFF71FDE"/>
    <w:rsid w:val="DFF79985"/>
    <w:rsid w:val="DFF7D5F3"/>
    <w:rsid w:val="DFF7E6B2"/>
    <w:rsid w:val="DFFBA3CB"/>
    <w:rsid w:val="DFFE3AE2"/>
    <w:rsid w:val="DFFF2301"/>
    <w:rsid w:val="DFFFEA15"/>
    <w:rsid w:val="DFFFFCF5"/>
    <w:rsid w:val="E1F7C738"/>
    <w:rsid w:val="E2AAD8D4"/>
    <w:rsid w:val="E2DB62D6"/>
    <w:rsid w:val="E39F9726"/>
    <w:rsid w:val="E3AFC672"/>
    <w:rsid w:val="E3BBDAA5"/>
    <w:rsid w:val="E4FFF4C9"/>
    <w:rsid w:val="E5FF753E"/>
    <w:rsid w:val="E6DBD662"/>
    <w:rsid w:val="E75F20A7"/>
    <w:rsid w:val="E76EB694"/>
    <w:rsid w:val="E777C923"/>
    <w:rsid w:val="E7DB1FE9"/>
    <w:rsid w:val="E7E5E02E"/>
    <w:rsid w:val="E7E75CB3"/>
    <w:rsid w:val="E7F48FD8"/>
    <w:rsid w:val="E7F9B54E"/>
    <w:rsid w:val="E7FCD774"/>
    <w:rsid w:val="E7FF3CFD"/>
    <w:rsid w:val="E7FFBF01"/>
    <w:rsid w:val="E8EF8C20"/>
    <w:rsid w:val="E8F97358"/>
    <w:rsid w:val="E9678B1E"/>
    <w:rsid w:val="E96E4A5F"/>
    <w:rsid w:val="E97C9EC3"/>
    <w:rsid w:val="E9BD2870"/>
    <w:rsid w:val="E9DF36D6"/>
    <w:rsid w:val="E9F71EFB"/>
    <w:rsid w:val="E9FDC511"/>
    <w:rsid w:val="EA3F8468"/>
    <w:rsid w:val="EAB7E68E"/>
    <w:rsid w:val="EABD66FE"/>
    <w:rsid w:val="EAE7C1E5"/>
    <w:rsid w:val="EB43A7FE"/>
    <w:rsid w:val="EBA7808E"/>
    <w:rsid w:val="EBB3DAE7"/>
    <w:rsid w:val="EBB5D886"/>
    <w:rsid w:val="EBCF8957"/>
    <w:rsid w:val="EBD585CB"/>
    <w:rsid w:val="EBEE0015"/>
    <w:rsid w:val="EBFA4CA0"/>
    <w:rsid w:val="EBFD2148"/>
    <w:rsid w:val="EBFD6FE7"/>
    <w:rsid w:val="EBFF53E3"/>
    <w:rsid w:val="EBFF8AD4"/>
    <w:rsid w:val="ECBAEC79"/>
    <w:rsid w:val="ECED508B"/>
    <w:rsid w:val="ECEFB60B"/>
    <w:rsid w:val="ECF95E55"/>
    <w:rsid w:val="ECFB5274"/>
    <w:rsid w:val="ED354D89"/>
    <w:rsid w:val="ED6EF7BA"/>
    <w:rsid w:val="ED7BE533"/>
    <w:rsid w:val="EDA7FCDF"/>
    <w:rsid w:val="EDA9EB23"/>
    <w:rsid w:val="EDAF08F6"/>
    <w:rsid w:val="EDBFD2DE"/>
    <w:rsid w:val="EDEF0D1B"/>
    <w:rsid w:val="EDEF9491"/>
    <w:rsid w:val="EDF34388"/>
    <w:rsid w:val="EDF5CFED"/>
    <w:rsid w:val="EDFB3D6C"/>
    <w:rsid w:val="EDFE821A"/>
    <w:rsid w:val="EE3D5F74"/>
    <w:rsid w:val="EE3E951C"/>
    <w:rsid w:val="EE79A84E"/>
    <w:rsid w:val="EED36828"/>
    <w:rsid w:val="EED43067"/>
    <w:rsid w:val="EEDF9EBB"/>
    <w:rsid w:val="EEF7FFD5"/>
    <w:rsid w:val="EEF98B79"/>
    <w:rsid w:val="EEFB1ACD"/>
    <w:rsid w:val="EEFEBF70"/>
    <w:rsid w:val="EEFED675"/>
    <w:rsid w:val="EEFF87FE"/>
    <w:rsid w:val="EF2FC1D9"/>
    <w:rsid w:val="EF3B75D6"/>
    <w:rsid w:val="EF3CFC88"/>
    <w:rsid w:val="EF5E4161"/>
    <w:rsid w:val="EF6F2EF6"/>
    <w:rsid w:val="EF7F07B7"/>
    <w:rsid w:val="EFAA92DB"/>
    <w:rsid w:val="EFABDACE"/>
    <w:rsid w:val="EFB790EF"/>
    <w:rsid w:val="EFB9E1C8"/>
    <w:rsid w:val="EFBF631D"/>
    <w:rsid w:val="EFCB0BB9"/>
    <w:rsid w:val="EFD52C21"/>
    <w:rsid w:val="EFDDACFC"/>
    <w:rsid w:val="EFDFEDC7"/>
    <w:rsid w:val="EFE72C35"/>
    <w:rsid w:val="EFEC7A5A"/>
    <w:rsid w:val="EFF3079C"/>
    <w:rsid w:val="EFF70D18"/>
    <w:rsid w:val="EFF77B6E"/>
    <w:rsid w:val="EFF7A58F"/>
    <w:rsid w:val="EFF99976"/>
    <w:rsid w:val="EFFB576B"/>
    <w:rsid w:val="EFFE4C79"/>
    <w:rsid w:val="EFFED981"/>
    <w:rsid w:val="EFFF491F"/>
    <w:rsid w:val="EFFF5FE9"/>
    <w:rsid w:val="F177695B"/>
    <w:rsid w:val="F17D5D08"/>
    <w:rsid w:val="F1DE7F24"/>
    <w:rsid w:val="F1EF70EA"/>
    <w:rsid w:val="F1FB4ADC"/>
    <w:rsid w:val="F26B4650"/>
    <w:rsid w:val="F27F381C"/>
    <w:rsid w:val="F2BF9CEC"/>
    <w:rsid w:val="F31E1515"/>
    <w:rsid w:val="F37889B7"/>
    <w:rsid w:val="F37F7ED1"/>
    <w:rsid w:val="F37F8834"/>
    <w:rsid w:val="F3B5A130"/>
    <w:rsid w:val="F3BB8E82"/>
    <w:rsid w:val="F3BE524A"/>
    <w:rsid w:val="F3EB25D2"/>
    <w:rsid w:val="F3F4986F"/>
    <w:rsid w:val="F3F7AB3A"/>
    <w:rsid w:val="F3FD10E9"/>
    <w:rsid w:val="F3FF9FFA"/>
    <w:rsid w:val="F4CFD967"/>
    <w:rsid w:val="F4DC46F8"/>
    <w:rsid w:val="F4FDB08F"/>
    <w:rsid w:val="F4FF0AEB"/>
    <w:rsid w:val="F4FFEE96"/>
    <w:rsid w:val="F51DC471"/>
    <w:rsid w:val="F57255C3"/>
    <w:rsid w:val="F57774A4"/>
    <w:rsid w:val="F57D23E4"/>
    <w:rsid w:val="F57F3FD5"/>
    <w:rsid w:val="F59929B1"/>
    <w:rsid w:val="F5BF6ED1"/>
    <w:rsid w:val="F5BF9F73"/>
    <w:rsid w:val="F5CE6A58"/>
    <w:rsid w:val="F5E572D2"/>
    <w:rsid w:val="F5EBBCB5"/>
    <w:rsid w:val="F5FDD32E"/>
    <w:rsid w:val="F5FF9C91"/>
    <w:rsid w:val="F66FD960"/>
    <w:rsid w:val="F6AE34AD"/>
    <w:rsid w:val="F6BF806B"/>
    <w:rsid w:val="F6EA094C"/>
    <w:rsid w:val="F6F6C602"/>
    <w:rsid w:val="F6FCCC99"/>
    <w:rsid w:val="F6FE74FD"/>
    <w:rsid w:val="F6FFC74E"/>
    <w:rsid w:val="F70F167E"/>
    <w:rsid w:val="F72754CE"/>
    <w:rsid w:val="F72FC2F7"/>
    <w:rsid w:val="F73B35F1"/>
    <w:rsid w:val="F753CCE0"/>
    <w:rsid w:val="F75B0A4D"/>
    <w:rsid w:val="F75BCE1D"/>
    <w:rsid w:val="F75D7389"/>
    <w:rsid w:val="F772D585"/>
    <w:rsid w:val="F7769D86"/>
    <w:rsid w:val="F7778DF7"/>
    <w:rsid w:val="F777AA23"/>
    <w:rsid w:val="F77ED798"/>
    <w:rsid w:val="F77FAE7F"/>
    <w:rsid w:val="F78F6153"/>
    <w:rsid w:val="F7AB50A5"/>
    <w:rsid w:val="F7AF4A9B"/>
    <w:rsid w:val="F7B22A7F"/>
    <w:rsid w:val="F7B7CF81"/>
    <w:rsid w:val="F7BF2AE0"/>
    <w:rsid w:val="F7BF797F"/>
    <w:rsid w:val="F7BFFE63"/>
    <w:rsid w:val="F7C422B1"/>
    <w:rsid w:val="F7CD1FF9"/>
    <w:rsid w:val="F7DF67AC"/>
    <w:rsid w:val="F7DFB714"/>
    <w:rsid w:val="F7E38431"/>
    <w:rsid w:val="F7E74D8F"/>
    <w:rsid w:val="F7E845C5"/>
    <w:rsid w:val="F7EF96B1"/>
    <w:rsid w:val="F7F6912A"/>
    <w:rsid w:val="F7F76EA6"/>
    <w:rsid w:val="F7FACC9C"/>
    <w:rsid w:val="F7FB4240"/>
    <w:rsid w:val="F7FCD470"/>
    <w:rsid w:val="F7FF2A0F"/>
    <w:rsid w:val="F7FFD173"/>
    <w:rsid w:val="F83F22BA"/>
    <w:rsid w:val="F86D46B5"/>
    <w:rsid w:val="F876AC93"/>
    <w:rsid w:val="F8BFFB2B"/>
    <w:rsid w:val="F957247B"/>
    <w:rsid w:val="F97FA42A"/>
    <w:rsid w:val="F9CF488C"/>
    <w:rsid w:val="F9CF82C6"/>
    <w:rsid w:val="F9D6A945"/>
    <w:rsid w:val="F9DDD867"/>
    <w:rsid w:val="F9DF944F"/>
    <w:rsid w:val="F9F47AFE"/>
    <w:rsid w:val="F9F546F8"/>
    <w:rsid w:val="F9F784C6"/>
    <w:rsid w:val="F9FA87D3"/>
    <w:rsid w:val="F9FD2B97"/>
    <w:rsid w:val="F9FF4ED8"/>
    <w:rsid w:val="F9FFF499"/>
    <w:rsid w:val="FA1E76A1"/>
    <w:rsid w:val="FA4F1FAF"/>
    <w:rsid w:val="FA5E9D0A"/>
    <w:rsid w:val="FA7FEA23"/>
    <w:rsid w:val="FA951093"/>
    <w:rsid w:val="FAB29FE1"/>
    <w:rsid w:val="FACF8BC5"/>
    <w:rsid w:val="FADFEC45"/>
    <w:rsid w:val="FAFAE2F4"/>
    <w:rsid w:val="FAFF43B0"/>
    <w:rsid w:val="FAFF715D"/>
    <w:rsid w:val="FB2FDE8C"/>
    <w:rsid w:val="FB3B4D23"/>
    <w:rsid w:val="FB5FE30A"/>
    <w:rsid w:val="FB69BC05"/>
    <w:rsid w:val="FB778661"/>
    <w:rsid w:val="FB79EC3C"/>
    <w:rsid w:val="FB7E2D98"/>
    <w:rsid w:val="FB7FDA0C"/>
    <w:rsid w:val="FB97AD1B"/>
    <w:rsid w:val="FB9F5572"/>
    <w:rsid w:val="FBBBBCF0"/>
    <w:rsid w:val="FBBE680F"/>
    <w:rsid w:val="FBBF1194"/>
    <w:rsid w:val="FBBF8232"/>
    <w:rsid w:val="FBCB3520"/>
    <w:rsid w:val="FBD3EFE1"/>
    <w:rsid w:val="FBD558EC"/>
    <w:rsid w:val="FBDC7DFC"/>
    <w:rsid w:val="FBDE411E"/>
    <w:rsid w:val="FBDEFF32"/>
    <w:rsid w:val="FBDFA555"/>
    <w:rsid w:val="FBE91DB3"/>
    <w:rsid w:val="FBE99B85"/>
    <w:rsid w:val="FBEF51ED"/>
    <w:rsid w:val="FBF7FAB8"/>
    <w:rsid w:val="FBF995D5"/>
    <w:rsid w:val="FBFBBA1D"/>
    <w:rsid w:val="FBFEAD4E"/>
    <w:rsid w:val="FBFF1A21"/>
    <w:rsid w:val="FBFF1F08"/>
    <w:rsid w:val="FBFF5C49"/>
    <w:rsid w:val="FCAF633B"/>
    <w:rsid w:val="FCAFBEC2"/>
    <w:rsid w:val="FCBE3713"/>
    <w:rsid w:val="FCDA1581"/>
    <w:rsid w:val="FCE576E9"/>
    <w:rsid w:val="FCEBF908"/>
    <w:rsid w:val="FCFB3E9A"/>
    <w:rsid w:val="FCFF968A"/>
    <w:rsid w:val="FD070300"/>
    <w:rsid w:val="FD3C9EC7"/>
    <w:rsid w:val="FD3D4A6C"/>
    <w:rsid w:val="FD3D9A8B"/>
    <w:rsid w:val="FD3DCC16"/>
    <w:rsid w:val="FD533CE5"/>
    <w:rsid w:val="FD6CFA84"/>
    <w:rsid w:val="FD7790A9"/>
    <w:rsid w:val="FD779933"/>
    <w:rsid w:val="FD7CC38F"/>
    <w:rsid w:val="FD7D6736"/>
    <w:rsid w:val="FD926385"/>
    <w:rsid w:val="FD9FB00B"/>
    <w:rsid w:val="FDBFBDD9"/>
    <w:rsid w:val="FDD3AA24"/>
    <w:rsid w:val="FDDAB5CF"/>
    <w:rsid w:val="FDE713B4"/>
    <w:rsid w:val="FDE7584C"/>
    <w:rsid w:val="FDE7E0B9"/>
    <w:rsid w:val="FDEBA541"/>
    <w:rsid w:val="FDEDD3EB"/>
    <w:rsid w:val="FDEDE92F"/>
    <w:rsid w:val="FDF17A88"/>
    <w:rsid w:val="FDF3E8E6"/>
    <w:rsid w:val="FDF77A5E"/>
    <w:rsid w:val="FDFB6502"/>
    <w:rsid w:val="FDFE2CDB"/>
    <w:rsid w:val="FDFE3A6F"/>
    <w:rsid w:val="FDFFBD1D"/>
    <w:rsid w:val="FE1F8787"/>
    <w:rsid w:val="FE393F03"/>
    <w:rsid w:val="FE3D6C7B"/>
    <w:rsid w:val="FE5DE2F1"/>
    <w:rsid w:val="FE61035D"/>
    <w:rsid w:val="FE67B40A"/>
    <w:rsid w:val="FE6F40D9"/>
    <w:rsid w:val="FE734873"/>
    <w:rsid w:val="FE7EC7D5"/>
    <w:rsid w:val="FE8FEAF9"/>
    <w:rsid w:val="FE97C2FF"/>
    <w:rsid w:val="FEB411E4"/>
    <w:rsid w:val="FEDFC62D"/>
    <w:rsid w:val="FEE7B437"/>
    <w:rsid w:val="FEEBCC62"/>
    <w:rsid w:val="FEEF6F90"/>
    <w:rsid w:val="FEF5BEE4"/>
    <w:rsid w:val="FEF9C693"/>
    <w:rsid w:val="FEFB3666"/>
    <w:rsid w:val="FEFBA115"/>
    <w:rsid w:val="FEFE28E2"/>
    <w:rsid w:val="FEFE939D"/>
    <w:rsid w:val="FEFF21EF"/>
    <w:rsid w:val="FF0D487B"/>
    <w:rsid w:val="FF1B1C97"/>
    <w:rsid w:val="FF2FDC40"/>
    <w:rsid w:val="FF3F7ECE"/>
    <w:rsid w:val="FF4F2C98"/>
    <w:rsid w:val="FF5BC574"/>
    <w:rsid w:val="FF621FFB"/>
    <w:rsid w:val="FF67A8A4"/>
    <w:rsid w:val="FF6EE6CA"/>
    <w:rsid w:val="FF73C0B9"/>
    <w:rsid w:val="FF760D96"/>
    <w:rsid w:val="FF76272A"/>
    <w:rsid w:val="FF7713D4"/>
    <w:rsid w:val="FF7A5304"/>
    <w:rsid w:val="FF7AD85D"/>
    <w:rsid w:val="FF7CB928"/>
    <w:rsid w:val="FF7D0989"/>
    <w:rsid w:val="FF7D2788"/>
    <w:rsid w:val="FF7E299B"/>
    <w:rsid w:val="FF7F1979"/>
    <w:rsid w:val="FF7F1D2D"/>
    <w:rsid w:val="FF7F3BB8"/>
    <w:rsid w:val="FF7F42D1"/>
    <w:rsid w:val="FF7FA205"/>
    <w:rsid w:val="FF8E809E"/>
    <w:rsid w:val="FF994D89"/>
    <w:rsid w:val="FF9BCF80"/>
    <w:rsid w:val="FF9E06EA"/>
    <w:rsid w:val="FFAB4842"/>
    <w:rsid w:val="FFABF761"/>
    <w:rsid w:val="FFAD9FAD"/>
    <w:rsid w:val="FFAF2836"/>
    <w:rsid w:val="FFAF6D1C"/>
    <w:rsid w:val="FFAFA1F5"/>
    <w:rsid w:val="FFAFCF75"/>
    <w:rsid w:val="FFB3BA40"/>
    <w:rsid w:val="FFB7BE35"/>
    <w:rsid w:val="FFBBFABC"/>
    <w:rsid w:val="FFBD0316"/>
    <w:rsid w:val="FFBE6DCF"/>
    <w:rsid w:val="FFBF0CFF"/>
    <w:rsid w:val="FFBF341A"/>
    <w:rsid w:val="FFBF5743"/>
    <w:rsid w:val="FFBF7913"/>
    <w:rsid w:val="FFC9F1FE"/>
    <w:rsid w:val="FFCE06A7"/>
    <w:rsid w:val="FFD8D922"/>
    <w:rsid w:val="FFDBA8D1"/>
    <w:rsid w:val="FFDBBFFD"/>
    <w:rsid w:val="FFDD5A55"/>
    <w:rsid w:val="FFDD62EB"/>
    <w:rsid w:val="FFDF1F66"/>
    <w:rsid w:val="FFDF60E3"/>
    <w:rsid w:val="FFDF6AB4"/>
    <w:rsid w:val="FFDF953B"/>
    <w:rsid w:val="FFE8DA6B"/>
    <w:rsid w:val="FFE90533"/>
    <w:rsid w:val="FFE91DA8"/>
    <w:rsid w:val="FFEC9CD9"/>
    <w:rsid w:val="FFED2EDC"/>
    <w:rsid w:val="FFEF1C6F"/>
    <w:rsid w:val="FFEF1E70"/>
    <w:rsid w:val="FFEF601F"/>
    <w:rsid w:val="FFF31BD9"/>
    <w:rsid w:val="FFF3B59C"/>
    <w:rsid w:val="FFF52C3E"/>
    <w:rsid w:val="FFF67A33"/>
    <w:rsid w:val="FFF73902"/>
    <w:rsid w:val="FFF7BD3E"/>
    <w:rsid w:val="FFF7C20D"/>
    <w:rsid w:val="FFF7CBBF"/>
    <w:rsid w:val="FFF7EA43"/>
    <w:rsid w:val="FFF89B6D"/>
    <w:rsid w:val="FFFA06B2"/>
    <w:rsid w:val="FFFB3A30"/>
    <w:rsid w:val="FFFB3CFB"/>
    <w:rsid w:val="FFFB6E47"/>
    <w:rsid w:val="FFFB72B0"/>
    <w:rsid w:val="FFFBECF1"/>
    <w:rsid w:val="FFFCDA81"/>
    <w:rsid w:val="FFFE6060"/>
    <w:rsid w:val="FFFE97E8"/>
    <w:rsid w:val="FFFEC781"/>
    <w:rsid w:val="FFFEDC7E"/>
    <w:rsid w:val="FFFEE48C"/>
    <w:rsid w:val="FFFF0316"/>
    <w:rsid w:val="FFFF0392"/>
    <w:rsid w:val="FFFF1D03"/>
    <w:rsid w:val="FFFF2B99"/>
    <w:rsid w:val="FFFF456A"/>
    <w:rsid w:val="FFFF461F"/>
    <w:rsid w:val="FFFF50D0"/>
    <w:rsid w:val="FFFF6D42"/>
    <w:rsid w:val="FFFF8146"/>
    <w:rsid w:val="FFFF8E51"/>
    <w:rsid w:val="FFFFA4CE"/>
    <w:rsid w:val="FFFFA86A"/>
    <w:rsid w:val="FFFFB2DB"/>
    <w:rsid w:val="FFFFCB65"/>
    <w:rsid w:val="FFFFEC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cs="Times New Roman"/>
      <w:b/>
      <w:kern w:val="44"/>
      <w:sz w:val="48"/>
      <w:szCs w:val="48"/>
    </w:rPr>
  </w:style>
  <w:style w:type="paragraph" w:styleId="4">
    <w:name w:val="heading 2"/>
    <w:basedOn w:val="1"/>
    <w:next w:val="1"/>
    <w:semiHidden/>
    <w:unhideWhenUsed/>
    <w:qFormat/>
    <w:uiPriority w:val="0"/>
    <w:pPr>
      <w:spacing w:beforeAutospacing="1" w:afterAutospacing="1"/>
      <w:jc w:val="left"/>
      <w:outlineLvl w:val="1"/>
    </w:pPr>
    <w:rPr>
      <w:rFonts w:hint="eastAsia" w:ascii="宋体" w:hAnsi="宋体" w:cs="Times New Roman"/>
      <w:b/>
      <w:kern w:val="0"/>
      <w:sz w:val="36"/>
      <w:szCs w:val="36"/>
    </w:rPr>
  </w:style>
  <w:style w:type="paragraph" w:styleId="5">
    <w:name w:val="heading 3"/>
    <w:basedOn w:val="1"/>
    <w:next w:val="1"/>
    <w:semiHidden/>
    <w:unhideWhenUsed/>
    <w:qFormat/>
    <w:uiPriority w:val="0"/>
    <w:pPr>
      <w:spacing w:beforeAutospacing="1" w:afterAutospacing="1"/>
      <w:jc w:val="left"/>
      <w:outlineLvl w:val="2"/>
    </w:pPr>
    <w:rPr>
      <w:rFonts w:hint="eastAsia" w:ascii="宋体" w:hAnsi="宋体" w:cs="Times New Roman"/>
      <w:b/>
      <w:kern w:val="0"/>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方正小标宋简体" w:hAnsi="方正小标宋简体" w:eastAsia="宋体" w:cs="方正小标宋简体"/>
      <w:color w:val="000000"/>
      <w:sz w:val="24"/>
      <w:szCs w:val="24"/>
      <w:lang w:val="en-US" w:eastAsia="zh-CN" w:bidi="ar-SA"/>
    </w:rPr>
  </w:style>
  <w:style w:type="paragraph" w:styleId="6">
    <w:name w:val="annotation text"/>
    <w:basedOn w:val="1"/>
    <w:link w:val="29"/>
    <w:qFormat/>
    <w:uiPriority w:val="0"/>
    <w:pPr>
      <w:jc w:val="left"/>
    </w:pPr>
  </w:style>
  <w:style w:type="paragraph" w:styleId="7">
    <w:name w:val="Balloon Text"/>
    <w:basedOn w:val="1"/>
    <w:link w:val="28"/>
    <w:qFormat/>
    <w:uiPriority w:val="0"/>
    <w:rPr>
      <w:sz w:val="18"/>
      <w:szCs w:val="18"/>
    </w:rPr>
  </w:style>
  <w:style w:type="paragraph" w:styleId="8">
    <w:name w:val="footer"/>
    <w:basedOn w:val="1"/>
    <w:link w:val="34"/>
    <w:qFormat/>
    <w:uiPriority w:val="99"/>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unhideWhenUsed/>
    <w:qFormat/>
    <w:uiPriority w:val="0"/>
    <w:rPr>
      <w:szCs w:val="22"/>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cs="Times New Roman"/>
      <w:kern w:val="0"/>
      <w:sz w:val="24"/>
    </w:rPr>
  </w:style>
  <w:style w:type="paragraph" w:styleId="12">
    <w:name w:val="Normal (Web)"/>
    <w:basedOn w:val="1"/>
    <w:qFormat/>
    <w:uiPriority w:val="0"/>
    <w:pPr>
      <w:spacing w:beforeAutospacing="1" w:afterAutospacing="1"/>
      <w:jc w:val="left"/>
    </w:pPr>
    <w:rPr>
      <w:rFonts w:cs="Times New Roman"/>
      <w:kern w:val="0"/>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bCs/>
    </w:rPr>
  </w:style>
  <w:style w:type="character" w:styleId="17">
    <w:name w:val="Emphasis"/>
    <w:basedOn w:val="15"/>
    <w:qFormat/>
    <w:uiPriority w:val="0"/>
    <w:rPr>
      <w:i/>
    </w:rPr>
  </w:style>
  <w:style w:type="character" w:styleId="18">
    <w:name w:val="Hyperlink"/>
    <w:basedOn w:val="15"/>
    <w:qFormat/>
    <w:uiPriority w:val="0"/>
    <w:rPr>
      <w:color w:val="0000FF"/>
      <w:u w:val="single"/>
    </w:rPr>
  </w:style>
  <w:style w:type="character" w:customStyle="1" w:styleId="19">
    <w:name w:val="font11"/>
    <w:basedOn w:val="15"/>
    <w:qFormat/>
    <w:uiPriority w:val="0"/>
    <w:rPr>
      <w:rFonts w:ascii="方正黑体简体" w:hAnsi="方正黑体简体" w:eastAsia="方正黑体简体" w:cs="方正黑体简体"/>
      <w:color w:val="000000"/>
      <w:sz w:val="30"/>
      <w:szCs w:val="30"/>
      <w:u w:val="none"/>
    </w:rPr>
  </w:style>
  <w:style w:type="character" w:customStyle="1" w:styleId="20">
    <w:name w:val="font61"/>
    <w:basedOn w:val="15"/>
    <w:qFormat/>
    <w:uiPriority w:val="0"/>
    <w:rPr>
      <w:rFonts w:hint="default" w:ascii="Times New Roman" w:hAnsi="Times New Roman" w:cs="Times New Roman"/>
      <w:color w:val="000000"/>
      <w:sz w:val="30"/>
      <w:szCs w:val="30"/>
      <w:u w:val="none"/>
    </w:rPr>
  </w:style>
  <w:style w:type="character" w:customStyle="1" w:styleId="21">
    <w:name w:val="font121"/>
    <w:basedOn w:val="15"/>
    <w:qFormat/>
    <w:uiPriority w:val="0"/>
    <w:rPr>
      <w:rFonts w:hint="eastAsia" w:ascii="宋体" w:hAnsi="宋体" w:eastAsia="宋体" w:cs="宋体"/>
      <w:color w:val="000000"/>
      <w:sz w:val="24"/>
      <w:szCs w:val="24"/>
      <w:u w:val="none"/>
    </w:rPr>
  </w:style>
  <w:style w:type="character" w:customStyle="1" w:styleId="22">
    <w:name w:val="font101"/>
    <w:basedOn w:val="15"/>
    <w:qFormat/>
    <w:uiPriority w:val="0"/>
    <w:rPr>
      <w:rFonts w:ascii="方正隶书_GBK" w:hAnsi="方正隶书_GBK" w:eastAsia="方正隶书_GBK" w:cs="方正隶书_GBK"/>
      <w:color w:val="000000"/>
      <w:sz w:val="24"/>
      <w:szCs w:val="24"/>
      <w:u w:val="none"/>
    </w:rPr>
  </w:style>
  <w:style w:type="character" w:customStyle="1" w:styleId="23">
    <w:name w:val="font31"/>
    <w:basedOn w:val="15"/>
    <w:qFormat/>
    <w:uiPriority w:val="0"/>
    <w:rPr>
      <w:rFonts w:hint="eastAsia" w:ascii="宋体" w:hAnsi="宋体" w:eastAsia="宋体" w:cs="宋体"/>
      <w:color w:val="000000"/>
      <w:sz w:val="21"/>
      <w:szCs w:val="21"/>
      <w:u w:val="none"/>
    </w:rPr>
  </w:style>
  <w:style w:type="character" w:customStyle="1" w:styleId="24">
    <w:name w:val="font01"/>
    <w:basedOn w:val="15"/>
    <w:qFormat/>
    <w:uiPriority w:val="0"/>
    <w:rPr>
      <w:rFonts w:hint="default" w:ascii="Times New Roman" w:hAnsi="Times New Roman" w:cs="Times New Roman"/>
      <w:color w:val="000000"/>
      <w:sz w:val="21"/>
      <w:szCs w:val="21"/>
      <w:u w:val="none"/>
    </w:rPr>
  </w:style>
  <w:style w:type="character" w:customStyle="1" w:styleId="25">
    <w:name w:val="font41"/>
    <w:basedOn w:val="15"/>
    <w:qFormat/>
    <w:uiPriority w:val="0"/>
    <w:rPr>
      <w:rFonts w:hint="eastAsia" w:ascii="宋体" w:hAnsi="宋体" w:eastAsia="宋体" w:cs="宋体"/>
      <w:color w:val="000000"/>
      <w:sz w:val="20"/>
      <w:szCs w:val="20"/>
      <w:u w:val="none"/>
    </w:rPr>
  </w:style>
  <w:style w:type="character" w:customStyle="1" w:styleId="26">
    <w:name w:val="font81"/>
    <w:basedOn w:val="15"/>
    <w:qFormat/>
    <w:uiPriority w:val="0"/>
    <w:rPr>
      <w:rFonts w:hint="eastAsia" w:ascii="宋体" w:hAnsi="宋体" w:eastAsia="宋体" w:cs="宋体"/>
      <w:color w:val="000000"/>
      <w:sz w:val="22"/>
      <w:szCs w:val="22"/>
      <w:u w:val="none"/>
    </w:rPr>
  </w:style>
  <w:style w:type="character" w:customStyle="1" w:styleId="27">
    <w:name w:val="font21"/>
    <w:basedOn w:val="15"/>
    <w:qFormat/>
    <w:uiPriority w:val="0"/>
    <w:rPr>
      <w:rFonts w:hint="eastAsia" w:ascii="宋体" w:hAnsi="宋体" w:eastAsia="宋体" w:cs="宋体"/>
      <w:b/>
      <w:color w:val="000000"/>
      <w:sz w:val="22"/>
      <w:szCs w:val="22"/>
      <w:u w:val="none"/>
    </w:rPr>
  </w:style>
  <w:style w:type="character" w:customStyle="1" w:styleId="28">
    <w:name w:val="批注框文本 字符"/>
    <w:basedOn w:val="15"/>
    <w:link w:val="7"/>
    <w:qFormat/>
    <w:uiPriority w:val="0"/>
    <w:rPr>
      <w:rFonts w:ascii="Calibri" w:hAnsi="Calibri" w:eastAsia="宋体" w:cs="黑体"/>
      <w:kern w:val="2"/>
      <w:sz w:val="18"/>
      <w:szCs w:val="18"/>
    </w:rPr>
  </w:style>
  <w:style w:type="character" w:customStyle="1" w:styleId="29">
    <w:name w:val="批注文字 字符"/>
    <w:basedOn w:val="15"/>
    <w:link w:val="6"/>
    <w:qFormat/>
    <w:uiPriority w:val="0"/>
    <w:rPr>
      <w:rFonts w:ascii="Calibri" w:hAnsi="Calibri" w:eastAsia="宋体" w:cs="黑体"/>
      <w:kern w:val="2"/>
      <w:sz w:val="21"/>
      <w:szCs w:val="24"/>
    </w:rPr>
  </w:style>
  <w:style w:type="paragraph" w:customStyle="1" w:styleId="30">
    <w:name w:val="Table Text"/>
    <w:basedOn w:val="1"/>
    <w:semiHidden/>
    <w:qFormat/>
    <w:uiPriority w:val="0"/>
    <w:rPr>
      <w:rFonts w:ascii="仿宋_GB2312" w:hAnsi="仿宋_GB2312" w:eastAsia="仿宋_GB2312" w:cs="仿宋_GB2312"/>
      <w:sz w:val="19"/>
      <w:szCs w:val="19"/>
      <w:lang w:eastAsia="en-US"/>
    </w:rPr>
  </w:style>
  <w:style w:type="table" w:customStyle="1" w:styleId="31">
    <w:name w:val="Table Normal"/>
    <w:semiHidden/>
    <w:unhideWhenUsed/>
    <w:qFormat/>
    <w:uiPriority w:val="0"/>
    <w:tblPr>
      <w:tblCellMar>
        <w:top w:w="0" w:type="dxa"/>
        <w:left w:w="0" w:type="dxa"/>
        <w:bottom w:w="0" w:type="dxa"/>
        <w:right w:w="0" w:type="dxa"/>
      </w:tblCellMar>
    </w:tblPr>
  </w:style>
  <w:style w:type="paragraph" w:customStyle="1" w:styleId="32">
    <w:name w:val="正文2"/>
    <w:basedOn w:val="1"/>
    <w:next w:val="1"/>
    <w:qFormat/>
    <w:uiPriority w:val="0"/>
  </w:style>
  <w:style w:type="paragraph" w:customStyle="1" w:styleId="33">
    <w:name w:val="Other|1"/>
    <w:basedOn w:val="1"/>
    <w:qFormat/>
    <w:uiPriority w:val="0"/>
    <w:pPr>
      <w:spacing w:line="237" w:lineRule="exact"/>
    </w:pPr>
    <w:rPr>
      <w:rFonts w:ascii="宋体" w:hAnsi="宋体" w:cs="宋体"/>
      <w:sz w:val="20"/>
      <w:szCs w:val="20"/>
    </w:rPr>
  </w:style>
  <w:style w:type="character" w:customStyle="1" w:styleId="34">
    <w:name w:val="页脚 字符"/>
    <w:basedOn w:val="15"/>
    <w:link w:val="8"/>
    <w:qFormat/>
    <w:uiPriority w:val="99"/>
    <w:rPr>
      <w:rFonts w:ascii="Calibri" w:hAnsi="Calibri" w:cs="黑体"/>
      <w:kern w:val="2"/>
      <w:sz w:val="1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bwMode="auto">
        <a:noFill/>
        <a:ln w="57150" cmpd="thinThick">
          <a:solidFill>
            <a:srgbClr val="FF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32089</Words>
  <Characters>33694</Characters>
  <Lines>6738</Lines>
  <Paragraphs>3462</Paragraphs>
  <TotalTime>32</TotalTime>
  <ScaleCrop>false</ScaleCrop>
  <LinksUpToDate>false</LinksUpToDate>
  <CharactersWithSpaces>62321</CharactersWithSpaces>
  <Application>WPS Office_11.8.2.9849_F1E327BC-269C-435d-A152-05C5408002CA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2022-08-08T03:37:00Z</dcterms:created>
  <dc:creator>Administrator</dc:creator>
  <cp:lastModifiedBy>user</cp:lastModifiedBy>
  <cp:lastPrinted>2025-05-18T10:34:00Z</cp:lastPrinted>
  <dcterms:modified xsi:type="dcterms:W3CDTF">2025-08-05T10:30:36Z</dcterms:modified>
  <dc:title>四川省行政许可事项清单（2022年版）</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y fmtid="{D5CDD505-2E9C-101B-9397-08002B2CF9AE}" pid="3" name="ICV">
    <vt:lpwstr>32A8042AC6B14832B482A341410930C5_13</vt:lpwstr>
  </property>
  <property fmtid="{D5CDD505-2E9C-101B-9397-08002B2CF9AE}" pid="4" name="KSOTemplateDocerSaveRecord">
    <vt:lpwstr>eyJoZGlkIjoiYjJmZTY3MDBhMzc5MTY5NTY3YjE2MTc0M2JmNzkxZjQiLCJ1c2VySWQiOiI0MTgyNjcyNTgifQ==</vt:lpwstr>
  </property>
</Properties>
</file>