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80" w:lineRule="exact"/>
        <w:ind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2024年乐山市机关事务管理局</w:t>
      </w:r>
    </w:p>
    <w:p>
      <w:pPr>
        <w:keepNext w:val="0"/>
        <w:keepLines w:val="0"/>
        <w:pageBreakBefore w:val="0"/>
        <w:widowControl w:val="0"/>
        <w:kinsoku/>
        <w:wordWrap/>
        <w:overflowPunct/>
        <w:topLinePunct w:val="0"/>
        <w:autoSpaceDE/>
        <w:autoSpaceDN/>
        <w:bidi w:val="0"/>
        <w:adjustRightInd w:val="0"/>
        <w:snapToGrid w:val="0"/>
        <w:spacing w:line="580" w:lineRule="exact"/>
        <w:ind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政府信息公开工作年度报告</w:t>
      </w:r>
    </w:p>
    <w:p>
      <w:pPr>
        <w:keepNext w:val="0"/>
        <w:keepLines w:val="0"/>
        <w:pageBreakBefore w:val="0"/>
        <w:widowControl w:val="0"/>
        <w:kinsoku/>
        <w:wordWrap/>
        <w:overflowPunct/>
        <w:topLinePunct w:val="0"/>
        <w:autoSpaceDE/>
        <w:autoSpaceDN/>
        <w:bidi w:val="0"/>
        <w:adjustRightInd w:val="0"/>
        <w:snapToGrid w:val="0"/>
        <w:spacing w:line="580" w:lineRule="exact"/>
        <w:ind w:firstLine="880" w:firstLineChars="200"/>
        <w:textAlignment w:val="auto"/>
        <w:rPr>
          <w:rFonts w:hint="eastAsia" w:ascii="方正小标宋_GBK" w:hAnsi="方正小标宋_GBK" w:eastAsia="方正小标宋_GBK" w:cs="方正小标宋_GBK"/>
          <w:sz w:val="44"/>
          <w:szCs w:val="44"/>
        </w:rPr>
      </w:pPr>
    </w:p>
    <w:p>
      <w:pPr>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本报告根据《中华人民共和国政府信息公开条例》</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《四川省</w:t>
      </w:r>
      <w:r>
        <w:rPr>
          <w:rFonts w:hint="eastAsia" w:ascii="仿宋_GB2312" w:hAnsi="仿宋_GB2312" w:eastAsia="仿宋_GB2312" w:cs="仿宋_GB2312"/>
          <w:sz w:val="32"/>
          <w:szCs w:val="40"/>
          <w:lang w:eastAsia="zh-CN"/>
        </w:rPr>
        <w:t>人民政府办公厅关于进一步做好政府信息公开工作年度报告编制发布工作的通知</w:t>
      </w:r>
      <w:r>
        <w:rPr>
          <w:rFonts w:hint="eastAsia" w:ascii="仿宋_GB2312" w:hAnsi="仿宋_GB2312" w:eastAsia="仿宋_GB2312" w:cs="仿宋_GB2312"/>
          <w:sz w:val="32"/>
          <w:szCs w:val="40"/>
        </w:rPr>
        <w:t>》（川办便函〔202</w:t>
      </w:r>
      <w:r>
        <w:rPr>
          <w:rFonts w:hint="eastAsia" w:ascii="仿宋_GB2312" w:hAnsi="仿宋_GB2312" w:eastAsia="仿宋_GB2312" w:cs="仿宋_GB2312"/>
          <w:sz w:val="32"/>
          <w:szCs w:val="40"/>
          <w:lang w:val="en-US" w:eastAsia="zh-CN"/>
        </w:rPr>
        <w:t>2</w:t>
      </w:r>
      <w:r>
        <w:rPr>
          <w:rFonts w:hint="eastAsia" w:ascii="仿宋_GB2312" w:hAnsi="仿宋_GB2312" w:eastAsia="仿宋_GB2312" w:cs="仿宋_GB2312"/>
          <w:sz w:val="32"/>
          <w:szCs w:val="40"/>
        </w:rPr>
        <w:t>〕3</w:t>
      </w:r>
      <w:r>
        <w:rPr>
          <w:rFonts w:hint="eastAsia" w:ascii="仿宋_GB2312" w:hAnsi="仿宋_GB2312" w:eastAsia="仿宋_GB2312" w:cs="仿宋_GB2312"/>
          <w:sz w:val="32"/>
          <w:szCs w:val="40"/>
          <w:lang w:val="en-US" w:eastAsia="zh-CN"/>
        </w:rPr>
        <w:t>18</w:t>
      </w:r>
      <w:r>
        <w:rPr>
          <w:rFonts w:hint="eastAsia" w:ascii="仿宋_GB2312" w:hAnsi="仿宋_GB2312" w:eastAsia="仿宋_GB2312" w:cs="仿宋_GB2312"/>
          <w:sz w:val="32"/>
          <w:szCs w:val="40"/>
        </w:rPr>
        <w:t>号）有关规定，由乐山市</w:t>
      </w:r>
      <w:r>
        <w:rPr>
          <w:rFonts w:hint="eastAsia" w:ascii="仿宋_GB2312" w:hAnsi="仿宋_GB2312" w:eastAsia="仿宋_GB2312" w:cs="仿宋_GB2312"/>
          <w:sz w:val="32"/>
          <w:szCs w:val="40"/>
          <w:lang w:val="en-US" w:eastAsia="zh-CN"/>
        </w:rPr>
        <w:t>机关事务管理局</w:t>
      </w:r>
      <w:r>
        <w:rPr>
          <w:rFonts w:hint="eastAsia" w:ascii="仿宋_GB2312" w:hAnsi="仿宋_GB2312" w:eastAsia="仿宋_GB2312" w:cs="仿宋_GB2312"/>
          <w:sz w:val="32"/>
          <w:szCs w:val="40"/>
        </w:rPr>
        <w:t>编制，主要包括：总体情况，主动公开政府信息情况，收到和处理政府信息公开申请情况，政府信息公开行政复议、行政诉讼情况，存在的主要问题及改进情况，其他需要报告的事项六个部分。</w:t>
      </w:r>
    </w:p>
    <w:p>
      <w:pPr>
        <w:ind w:firstLine="640" w:firstLineChars="200"/>
        <w:rPr>
          <w:rFonts w:hint="eastAsia" w:ascii="黑体" w:hAnsi="黑体" w:eastAsia="黑体" w:cs="黑体"/>
          <w:sz w:val="32"/>
          <w:szCs w:val="40"/>
        </w:rPr>
      </w:pPr>
      <w:r>
        <w:rPr>
          <w:rFonts w:hint="eastAsia" w:ascii="黑体" w:hAnsi="黑体" w:eastAsia="黑体" w:cs="黑体"/>
          <w:sz w:val="32"/>
          <w:szCs w:val="40"/>
        </w:rPr>
        <w:t>一、总体情况</w:t>
      </w:r>
    </w:p>
    <w:p>
      <w:pPr>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202</w:t>
      </w:r>
      <w:r>
        <w:rPr>
          <w:rFonts w:hint="eastAsia" w:ascii="仿宋_GB2312" w:hAnsi="仿宋_GB2312" w:eastAsia="仿宋_GB2312" w:cs="仿宋_GB2312"/>
          <w:sz w:val="32"/>
          <w:szCs w:val="40"/>
          <w:lang w:val="en-US" w:eastAsia="zh-CN"/>
        </w:rPr>
        <w:t>4</w:t>
      </w:r>
      <w:r>
        <w:rPr>
          <w:rFonts w:hint="eastAsia" w:ascii="仿宋_GB2312" w:hAnsi="仿宋_GB2312" w:eastAsia="仿宋_GB2312" w:cs="仿宋_GB2312"/>
          <w:sz w:val="32"/>
          <w:szCs w:val="40"/>
        </w:rPr>
        <w:t>年，乐山市机关事务管理局坚持以习近平新时代中国特色社会主义思想为指导，认真贯彻落实新修订的《政府信息公开条例》，扎实推进重点领域信息公开，加强政策解读，通过机关门户网站等途径，积极主动做好政府信息公开各项工作，向社会公众展现了机关事务各项工作。</w:t>
      </w:r>
    </w:p>
    <w:p>
      <w:pPr>
        <w:ind w:firstLine="640" w:firstLineChars="200"/>
        <w:rPr>
          <w:rFonts w:hint="eastAsia" w:ascii="仿宋_GB2312" w:hAnsi="仿宋_GB2312" w:eastAsia="仿宋_GB2312" w:cs="仿宋_GB2312"/>
          <w:sz w:val="32"/>
          <w:szCs w:val="40"/>
          <w:lang w:val="en-US" w:eastAsia="zh-CN"/>
        </w:rPr>
      </w:pPr>
      <w:r>
        <w:rPr>
          <w:rFonts w:hint="eastAsia" w:ascii="楷体" w:hAnsi="楷体" w:eastAsia="楷体" w:cs="楷体"/>
          <w:sz w:val="32"/>
          <w:szCs w:val="40"/>
          <w:lang w:eastAsia="zh-CN"/>
        </w:rPr>
        <w:t>（一）主动公开情况。</w:t>
      </w:r>
      <w:r>
        <w:rPr>
          <w:rFonts w:hint="eastAsia" w:ascii="仿宋_GB2312" w:hAnsi="仿宋_GB2312" w:eastAsia="仿宋_GB2312" w:cs="仿宋_GB2312"/>
          <w:sz w:val="32"/>
          <w:szCs w:val="40"/>
          <w:lang w:eastAsia="zh-CN"/>
        </w:rPr>
        <w:t>我</w:t>
      </w:r>
      <w:r>
        <w:rPr>
          <w:rFonts w:hint="eastAsia" w:ascii="仿宋_GB2312" w:hAnsi="仿宋_GB2312" w:eastAsia="仿宋_GB2312" w:cs="仿宋_GB2312"/>
          <w:sz w:val="32"/>
          <w:szCs w:val="40"/>
        </w:rPr>
        <w:t>局高度重视信息公开，</w:t>
      </w:r>
      <w:r>
        <w:rPr>
          <w:rFonts w:hint="eastAsia" w:ascii="仿宋_GB2312" w:hAnsi="仿宋_GB2312" w:eastAsia="仿宋_GB2312" w:cs="仿宋_GB2312"/>
          <w:sz w:val="32"/>
          <w:szCs w:val="40"/>
          <w:lang w:eastAsia="zh-CN"/>
        </w:rPr>
        <w:t>严格</w:t>
      </w:r>
      <w:r>
        <w:rPr>
          <w:rFonts w:hint="eastAsia" w:ascii="仿宋_GB2312" w:hAnsi="仿宋_GB2312" w:eastAsia="仿宋_GB2312" w:cs="仿宋_GB2312"/>
          <w:sz w:val="32"/>
          <w:szCs w:val="40"/>
        </w:rPr>
        <w:t>遵循“全面、及时、准确、规范”和“谁主管谁审查、谁审查谁负责”“先审查后公开”的原则</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将政府信息公开工作</w:t>
      </w:r>
      <w:r>
        <w:rPr>
          <w:rFonts w:hint="eastAsia" w:ascii="仿宋_GB2312" w:hAnsi="仿宋_GB2312" w:eastAsia="仿宋_GB2312" w:cs="仿宋_GB2312"/>
          <w:sz w:val="32"/>
          <w:szCs w:val="40"/>
          <w:lang w:val="en-US" w:eastAsia="zh-CN"/>
        </w:rPr>
        <w:t>与</w:t>
      </w:r>
      <w:r>
        <w:rPr>
          <w:rFonts w:hint="eastAsia" w:ascii="仿宋_GB2312" w:hAnsi="仿宋_GB2312" w:eastAsia="仿宋_GB2312" w:cs="仿宋_GB2312"/>
          <w:sz w:val="32"/>
          <w:szCs w:val="40"/>
        </w:rPr>
        <w:t>业务工作同研究、同部署、同落实</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lang w:val="en-US" w:eastAsia="zh-CN"/>
        </w:rPr>
        <w:t>扎实做好政务信息公开工作</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lang w:val="en-US" w:eastAsia="zh-CN"/>
        </w:rPr>
        <w:t>2024年，我局发布工作信息194条，其中党中央国务院信息更新99条，政务动态信息更新33条，公示公告信息更新8条，收到依申请公开0份。经后台统计，网站的独立用户访问总量约16647次，网站总访问量约48243次。</w:t>
      </w:r>
    </w:p>
    <w:p>
      <w:pPr>
        <w:ind w:firstLine="640" w:firstLineChars="200"/>
        <w:rPr>
          <w:rFonts w:hint="eastAsia" w:ascii="仿宋_GB2312" w:hAnsi="仿宋_GB2312" w:eastAsia="仿宋_GB2312" w:cs="仿宋_GB2312"/>
          <w:sz w:val="32"/>
          <w:szCs w:val="40"/>
          <w:lang w:eastAsia="zh-CN"/>
        </w:rPr>
      </w:pPr>
      <w:r>
        <w:rPr>
          <w:rFonts w:hint="eastAsia" w:ascii="楷体" w:hAnsi="楷体" w:eastAsia="楷体" w:cs="楷体"/>
          <w:sz w:val="32"/>
          <w:szCs w:val="40"/>
          <w:lang w:val="en-US" w:eastAsia="zh-CN"/>
        </w:rPr>
        <w:t>（二）依申请公开情况。</w:t>
      </w:r>
      <w:r>
        <w:rPr>
          <w:rFonts w:hint="eastAsia" w:ascii="仿宋_GB2312" w:hAnsi="仿宋_GB2312" w:eastAsia="仿宋_GB2312" w:cs="仿宋_GB2312"/>
          <w:sz w:val="32"/>
          <w:szCs w:val="40"/>
          <w:lang w:val="en-US" w:eastAsia="zh-CN"/>
        </w:rPr>
        <w:t>本年度严格按照依申请公开工作受理要求，开展依申请公开事项，在法律和政策允许的范围，尽最大可能满足申请人的信息需求。2024年，我局未收到关于政府信息公开的申请。</w:t>
      </w:r>
    </w:p>
    <w:p>
      <w:pPr>
        <w:ind w:firstLine="640" w:firstLineChars="200"/>
        <w:rPr>
          <w:rFonts w:hint="eastAsia" w:ascii="仿宋_GB2312" w:hAnsi="仿宋_GB2312" w:eastAsia="仿宋_GB2312" w:cs="仿宋_GB2312"/>
          <w:sz w:val="32"/>
          <w:szCs w:val="40"/>
          <w:lang w:val="en-US" w:eastAsia="zh-CN"/>
        </w:rPr>
      </w:pPr>
      <w:r>
        <w:rPr>
          <w:rFonts w:hint="eastAsia" w:ascii="楷体" w:hAnsi="楷体" w:eastAsia="楷体" w:cs="楷体"/>
          <w:sz w:val="32"/>
          <w:szCs w:val="40"/>
          <w:lang w:val="en-US" w:eastAsia="zh-CN"/>
        </w:rPr>
        <w:t>（三）政府信息管理情况。</w:t>
      </w:r>
      <w:r>
        <w:rPr>
          <w:rFonts w:hint="eastAsia" w:ascii="仿宋_GB2312" w:hAnsi="仿宋_GB2312" w:eastAsia="仿宋_GB2312" w:cs="仿宋_GB2312"/>
          <w:sz w:val="32"/>
          <w:szCs w:val="40"/>
          <w:lang w:val="en-US" w:eastAsia="zh-CN"/>
        </w:rPr>
        <w:t>印发《信息公开保密审查（网络信息发布）制度》，进一步</w:t>
      </w:r>
      <w:r>
        <w:rPr>
          <w:rFonts w:hint="eastAsia" w:ascii="仿宋_GB2312" w:hAnsi="仿宋_GB2312" w:eastAsia="仿宋_GB2312" w:cs="仿宋_GB2312"/>
          <w:sz w:val="32"/>
          <w:szCs w:val="40"/>
        </w:rPr>
        <w:t>规范信息公开行为</w:t>
      </w:r>
      <w:r>
        <w:rPr>
          <w:rFonts w:hint="eastAsia" w:ascii="仿宋_GB2312" w:hAnsi="仿宋_GB2312" w:eastAsia="仿宋_GB2312" w:cs="仿宋_GB2312"/>
          <w:sz w:val="32"/>
          <w:szCs w:val="40"/>
          <w:lang w:val="en-US" w:eastAsia="zh-CN"/>
        </w:rPr>
        <w:t>，做到要公开前先审批，无审批不公开，确保信息管理规范、科学、准确。确定专人负责局门户网站的常态化管理，明确门户网站主页信息至少每两周更新一次，确保了信息发布的及时有效性，确保公开信息内容安全有监督、质量有保障、更新有效率。</w:t>
      </w:r>
    </w:p>
    <w:p>
      <w:pPr>
        <w:ind w:firstLine="640" w:firstLineChars="200"/>
        <w:rPr>
          <w:rFonts w:hint="eastAsia" w:ascii="仿宋_GB2312" w:hAnsi="仿宋_GB2312" w:eastAsia="仿宋_GB2312" w:cs="仿宋_GB2312"/>
          <w:sz w:val="32"/>
          <w:szCs w:val="40"/>
        </w:rPr>
      </w:pPr>
      <w:r>
        <w:rPr>
          <w:rFonts w:hint="eastAsia" w:ascii="楷体" w:hAnsi="楷体" w:eastAsia="楷体" w:cs="楷体"/>
          <w:sz w:val="32"/>
          <w:szCs w:val="40"/>
          <w:lang w:val="en-US" w:eastAsia="zh-CN"/>
        </w:rPr>
        <w:t>（四）平台建设情况。</w:t>
      </w:r>
      <w:r>
        <w:rPr>
          <w:rFonts w:hint="eastAsia" w:ascii="仿宋_GB2312" w:hAnsi="仿宋_GB2312" w:eastAsia="仿宋_GB2312" w:cs="仿宋_GB2312"/>
          <w:sz w:val="32"/>
          <w:szCs w:val="40"/>
          <w:lang w:val="en-US" w:eastAsia="zh-CN"/>
        </w:rPr>
        <w:t>进一步优化栏目页面设置和展现方式，完善政策法规、政策解读、公示公告内容，及时准确发布法定主动公开内容并动态更新，确保了政府信息公开栏目与其他栏目数据同源。</w:t>
      </w:r>
      <w:r>
        <w:rPr>
          <w:rFonts w:hint="eastAsia" w:ascii="仿宋_GB2312" w:hAnsi="仿宋_GB2312" w:eastAsia="仿宋_GB2312" w:cs="仿宋_GB2312"/>
          <w:sz w:val="32"/>
          <w:szCs w:val="40"/>
          <w:lang w:val="en" w:eastAsia="zh-CN"/>
        </w:rPr>
        <w:t>202</w:t>
      </w:r>
      <w:r>
        <w:rPr>
          <w:rFonts w:hint="eastAsia" w:ascii="仿宋_GB2312" w:hAnsi="仿宋_GB2312" w:eastAsia="仿宋_GB2312" w:cs="仿宋_GB2312"/>
          <w:sz w:val="32"/>
          <w:szCs w:val="40"/>
          <w:lang w:val="en-US" w:eastAsia="zh-CN"/>
        </w:rPr>
        <w:t>4</w:t>
      </w:r>
      <w:r>
        <w:rPr>
          <w:rFonts w:hint="eastAsia" w:ascii="仿宋_GB2312" w:hAnsi="仿宋_GB2312" w:eastAsia="仿宋_GB2312" w:cs="仿宋_GB2312"/>
          <w:sz w:val="32"/>
          <w:szCs w:val="40"/>
        </w:rPr>
        <w:t>年我局</w:t>
      </w:r>
      <w:r>
        <w:rPr>
          <w:rFonts w:hint="eastAsia" w:ascii="仿宋_GB2312" w:hAnsi="仿宋_GB2312" w:eastAsia="仿宋_GB2312" w:cs="仿宋_GB2312"/>
          <w:sz w:val="32"/>
          <w:szCs w:val="40"/>
          <w:lang w:val="en-US" w:eastAsia="zh-CN"/>
        </w:rPr>
        <w:t>心连心信箱未</w:t>
      </w:r>
      <w:r>
        <w:rPr>
          <w:rFonts w:hint="eastAsia" w:ascii="仿宋_GB2312" w:hAnsi="仿宋_GB2312" w:eastAsia="仿宋_GB2312" w:cs="仿宋_GB2312"/>
          <w:sz w:val="32"/>
          <w:szCs w:val="40"/>
          <w:lang w:eastAsia="zh-CN"/>
        </w:rPr>
        <w:t>收到</w:t>
      </w:r>
      <w:r>
        <w:rPr>
          <w:rFonts w:hint="eastAsia" w:ascii="仿宋_GB2312" w:hAnsi="仿宋_GB2312" w:eastAsia="仿宋_GB2312" w:cs="仿宋_GB2312"/>
          <w:sz w:val="32"/>
          <w:szCs w:val="40"/>
          <w:lang w:val="en-US" w:eastAsia="zh-CN"/>
        </w:rPr>
        <w:t>群众问题</w:t>
      </w:r>
      <w:r>
        <w:rPr>
          <w:rFonts w:hint="eastAsia" w:ascii="仿宋_GB2312" w:hAnsi="仿宋_GB2312" w:eastAsia="仿宋_GB2312" w:cs="仿宋_GB2312"/>
          <w:sz w:val="32"/>
          <w:szCs w:val="40"/>
        </w:rPr>
        <w:t>，未发生对重大政务舆情处置不得力、回应不妥当、报告不及时的事件。</w:t>
      </w:r>
    </w:p>
    <w:p>
      <w:pPr>
        <w:ind w:firstLine="640" w:firstLineChars="200"/>
        <w:rPr>
          <w:rFonts w:hint="eastAsia" w:ascii="仿宋_GB2312" w:hAnsi="仿宋_GB2312" w:eastAsia="仿宋_GB2312" w:cs="仿宋_GB2312"/>
          <w:sz w:val="32"/>
          <w:szCs w:val="40"/>
          <w:lang w:val="en-US" w:eastAsia="zh-CN"/>
        </w:rPr>
      </w:pPr>
      <w:bookmarkStart w:id="0" w:name="_GoBack"/>
      <w:r>
        <w:rPr>
          <w:rFonts w:hint="eastAsia" w:ascii="楷体" w:hAnsi="楷体" w:eastAsia="楷体" w:cs="楷体"/>
          <w:sz w:val="32"/>
          <w:szCs w:val="40"/>
          <w:lang w:val="en-US" w:eastAsia="zh-CN"/>
        </w:rPr>
        <w:t>（五）监督保障情况</w:t>
      </w:r>
      <w:bookmarkEnd w:id="0"/>
      <w:r>
        <w:rPr>
          <w:rFonts w:hint="eastAsia" w:ascii="仿宋_GB2312" w:hAnsi="仿宋_GB2312" w:eastAsia="仿宋_GB2312" w:cs="仿宋_GB2312"/>
          <w:sz w:val="32"/>
          <w:szCs w:val="40"/>
          <w:lang w:val="en-US" w:eastAsia="zh-CN"/>
        </w:rPr>
        <w:t>。强化信息发布流程管控，办公室负责对发布的内容进行核查，确保信息发布真实、准确、权威。不断加强政府信息公开规范化建设，开放多渠道咨询途径，主动回应社会关切，让群众享有充分的知情权、参与权和监督权。</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二、主动公开政府信息情况</w:t>
      </w:r>
    </w:p>
    <w:p>
      <w:pPr>
        <w:rPr>
          <w:rFonts w:hint="eastAsia"/>
        </w:rPr>
      </w:pPr>
    </w:p>
    <w:tbl>
      <w:tblPr>
        <w:tblStyle w:val="5"/>
        <w:tblW w:w="97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auto"/>
        <w:tblLayout w:type="autofit"/>
        <w:tblCellMar>
          <w:top w:w="0" w:type="dxa"/>
          <w:left w:w="0" w:type="dxa"/>
          <w:bottom w:w="0" w:type="dxa"/>
          <w:right w:w="0" w:type="dxa"/>
        </w:tblCellMar>
      </w:tblPr>
      <w:tblGrid>
        <w:gridCol w:w="2435"/>
        <w:gridCol w:w="2435"/>
        <w:gridCol w:w="2435"/>
        <w:gridCol w:w="243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auto"/>
          <w:tblCellMar>
            <w:top w:w="0" w:type="dxa"/>
            <w:left w:w="0" w:type="dxa"/>
            <w:bottom w:w="0" w:type="dxa"/>
            <w:right w:w="0" w:type="dxa"/>
          </w:tblCellMar>
        </w:tblPrEx>
        <w:trPr>
          <w:trHeight w:val="579" w:hRule="atLeast"/>
          <w:jc w:val="center"/>
        </w:trPr>
        <w:tc>
          <w:tcPr>
            <w:tcW w:w="9740" w:type="dxa"/>
            <w:gridSpan w:val="4"/>
            <w:tcBorders>
              <w:tl2br w:val="nil"/>
              <w:tr2bl w:val="nil"/>
            </w:tcBorders>
            <w:shd w:val="clear" w:color="auto" w:fill="C6D9F1"/>
            <w:tcMar>
              <w:left w:w="57" w:type="dxa"/>
              <w:right w:w="57" w:type="dxa"/>
            </w:tcMar>
            <w:vAlign w:val="center"/>
          </w:tcPr>
          <w:p>
            <w:r>
              <w:rPr>
                <w:rFonts w:hint="eastAsia"/>
                <w:lang w:val="en-US" w:eastAsia="zh-CN"/>
              </w:rPr>
              <w:t>第二十条第（一）项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9" w:hRule="atLeast"/>
          <w:jc w:val="center"/>
        </w:trPr>
        <w:tc>
          <w:tcPr>
            <w:tcW w:w="2435" w:type="dxa"/>
            <w:tcBorders>
              <w:tl2br w:val="nil"/>
              <w:tr2bl w:val="nil"/>
            </w:tcBorders>
            <w:shd w:val="clear" w:color="auto" w:fill="auto"/>
            <w:tcMar>
              <w:left w:w="57" w:type="dxa"/>
              <w:right w:w="57" w:type="dxa"/>
            </w:tcMar>
            <w:vAlign w:val="center"/>
          </w:tcPr>
          <w:p>
            <w:r>
              <w:rPr>
                <w:rFonts w:hint="eastAsia"/>
                <w:lang w:val="en-US" w:eastAsia="zh-CN"/>
              </w:rPr>
              <w:t>信息内容</w:t>
            </w:r>
          </w:p>
        </w:tc>
        <w:tc>
          <w:tcPr>
            <w:tcW w:w="2435" w:type="dxa"/>
            <w:tcBorders>
              <w:tl2br w:val="nil"/>
              <w:tr2bl w:val="nil"/>
            </w:tcBorders>
            <w:shd w:val="clear" w:color="auto" w:fill="auto"/>
            <w:tcMar>
              <w:left w:w="57" w:type="dxa"/>
              <w:right w:w="57" w:type="dxa"/>
            </w:tcMar>
            <w:vAlign w:val="center"/>
          </w:tcPr>
          <w:p>
            <w:r>
              <w:rPr>
                <w:rFonts w:hint="eastAsia"/>
                <w:lang w:val="en-US" w:eastAsia="zh-CN"/>
              </w:rPr>
              <w:t>本年制发件数</w:t>
            </w:r>
          </w:p>
        </w:tc>
        <w:tc>
          <w:tcPr>
            <w:tcW w:w="2435" w:type="dxa"/>
            <w:tcBorders>
              <w:tl2br w:val="nil"/>
              <w:tr2bl w:val="nil"/>
            </w:tcBorders>
            <w:shd w:val="clear" w:color="auto" w:fill="auto"/>
            <w:tcMar>
              <w:left w:w="57" w:type="dxa"/>
              <w:right w:w="57" w:type="dxa"/>
            </w:tcMar>
            <w:vAlign w:val="center"/>
          </w:tcPr>
          <w:p>
            <w:r>
              <w:rPr>
                <w:rFonts w:hint="eastAsia"/>
                <w:lang w:val="en-US" w:eastAsia="zh-CN"/>
              </w:rPr>
              <w:t>本年废止件数</w:t>
            </w:r>
          </w:p>
        </w:tc>
        <w:tc>
          <w:tcPr>
            <w:tcW w:w="2435" w:type="dxa"/>
            <w:tcBorders>
              <w:tl2br w:val="nil"/>
              <w:tr2bl w:val="nil"/>
            </w:tcBorders>
            <w:shd w:val="clear" w:color="auto" w:fill="auto"/>
            <w:tcMar>
              <w:left w:w="57" w:type="dxa"/>
              <w:right w:w="57" w:type="dxa"/>
            </w:tcMar>
            <w:vAlign w:val="center"/>
          </w:tcPr>
          <w:p>
            <w:r>
              <w:rPr>
                <w:rFonts w:hint="eastAsia"/>
                <w:lang w:val="en-US" w:eastAsia="zh-CN"/>
              </w:rPr>
              <w:t>现行有效件数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9" w:hRule="atLeast"/>
          <w:jc w:val="center"/>
        </w:trPr>
        <w:tc>
          <w:tcPr>
            <w:tcW w:w="2435" w:type="dxa"/>
            <w:tcBorders>
              <w:tl2br w:val="nil"/>
              <w:tr2bl w:val="nil"/>
            </w:tcBorders>
            <w:shd w:val="clear" w:color="auto" w:fill="auto"/>
            <w:tcMar>
              <w:left w:w="57" w:type="dxa"/>
              <w:right w:w="57" w:type="dxa"/>
            </w:tcMar>
            <w:vAlign w:val="center"/>
          </w:tcPr>
          <w:p>
            <w:r>
              <w:rPr>
                <w:rFonts w:hint="eastAsia"/>
                <w:lang w:val="en-US" w:eastAsia="zh-CN"/>
              </w:rPr>
              <w:t>规章</w:t>
            </w:r>
          </w:p>
        </w:tc>
        <w:tc>
          <w:tcPr>
            <w:tcW w:w="2435" w:type="dxa"/>
            <w:tcBorders>
              <w:tl2br w:val="nil"/>
              <w:tr2bl w:val="nil"/>
            </w:tcBorders>
            <w:shd w:val="clear" w:color="auto" w:fill="auto"/>
            <w:tcMar>
              <w:left w:w="57" w:type="dxa"/>
              <w:right w:w="57" w:type="dxa"/>
            </w:tcMar>
            <w:vAlign w:val="center"/>
          </w:tcPr>
          <w:p>
            <w:pPr>
              <w:jc w:val="center"/>
            </w:pPr>
            <w:r>
              <w:rPr>
                <w:rFonts w:hint="eastAsia"/>
                <w:lang w:val="en-US" w:eastAsia="zh-CN"/>
              </w:rPr>
              <w:t>0</w:t>
            </w:r>
          </w:p>
        </w:tc>
        <w:tc>
          <w:tcPr>
            <w:tcW w:w="2435" w:type="dxa"/>
            <w:tcBorders>
              <w:tl2br w:val="nil"/>
              <w:tr2bl w:val="nil"/>
            </w:tcBorders>
            <w:shd w:val="clear" w:color="auto" w:fill="auto"/>
            <w:tcMar>
              <w:left w:w="57" w:type="dxa"/>
              <w:right w:w="57" w:type="dxa"/>
            </w:tcMar>
            <w:vAlign w:val="center"/>
          </w:tcPr>
          <w:p>
            <w:pPr>
              <w:jc w:val="center"/>
            </w:pPr>
            <w:r>
              <w:rPr>
                <w:rFonts w:hint="eastAsia"/>
                <w:lang w:val="en-US" w:eastAsia="zh-CN"/>
              </w:rPr>
              <w:t>0</w:t>
            </w:r>
          </w:p>
        </w:tc>
        <w:tc>
          <w:tcPr>
            <w:tcW w:w="2435" w:type="dxa"/>
            <w:tcBorders>
              <w:tl2br w:val="nil"/>
              <w:tr2bl w:val="nil"/>
            </w:tcBorders>
            <w:shd w:val="clear" w:color="auto" w:fill="auto"/>
            <w:tcMar>
              <w:left w:w="57" w:type="dxa"/>
              <w:right w:w="57" w:type="dxa"/>
            </w:tcMar>
            <w:vAlign w:val="center"/>
          </w:tcPr>
          <w:p>
            <w:pPr>
              <w:jc w:val="center"/>
              <w:rPr>
                <w:rFonts w:hint="default"/>
                <w:lang w:val="en-US"/>
              </w:rPr>
            </w:pPr>
            <w:r>
              <w:rPr>
                <w:rFonts w:hint="eastAsia"/>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9" w:hRule="atLeast"/>
          <w:jc w:val="center"/>
        </w:trPr>
        <w:tc>
          <w:tcPr>
            <w:tcW w:w="2435" w:type="dxa"/>
            <w:tcBorders>
              <w:tl2br w:val="nil"/>
              <w:tr2bl w:val="nil"/>
            </w:tcBorders>
            <w:shd w:val="clear" w:color="auto" w:fill="auto"/>
            <w:tcMar>
              <w:left w:w="57" w:type="dxa"/>
              <w:right w:w="57" w:type="dxa"/>
            </w:tcMar>
            <w:vAlign w:val="center"/>
          </w:tcPr>
          <w:p>
            <w:r>
              <w:rPr>
                <w:rFonts w:hint="eastAsia"/>
                <w:lang w:val="en-US" w:eastAsia="zh-CN"/>
              </w:rPr>
              <w:t>行政规范性文件</w:t>
            </w:r>
          </w:p>
        </w:tc>
        <w:tc>
          <w:tcPr>
            <w:tcW w:w="2435" w:type="dxa"/>
            <w:tcBorders>
              <w:tl2br w:val="nil"/>
              <w:tr2bl w:val="nil"/>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2435" w:type="dxa"/>
            <w:tcBorders>
              <w:tl2br w:val="nil"/>
              <w:tr2bl w:val="nil"/>
            </w:tcBorders>
            <w:shd w:val="clear" w:color="auto" w:fill="auto"/>
            <w:tcMar>
              <w:left w:w="57" w:type="dxa"/>
              <w:right w:w="57" w:type="dxa"/>
            </w:tcMar>
            <w:vAlign w:val="center"/>
          </w:tcPr>
          <w:p>
            <w:pPr>
              <w:jc w:val="center"/>
            </w:pPr>
            <w:r>
              <w:rPr>
                <w:rFonts w:hint="eastAsia"/>
                <w:lang w:val="en-US" w:eastAsia="zh-CN"/>
              </w:rPr>
              <w:t>0</w:t>
            </w:r>
          </w:p>
        </w:tc>
        <w:tc>
          <w:tcPr>
            <w:tcW w:w="2435" w:type="dxa"/>
            <w:tcBorders>
              <w:tl2br w:val="nil"/>
              <w:tr2bl w:val="nil"/>
            </w:tcBorders>
            <w:shd w:val="clear" w:color="auto" w:fill="auto"/>
            <w:tcMar>
              <w:left w:w="57" w:type="dxa"/>
              <w:right w:w="57" w:type="dxa"/>
            </w:tcMar>
            <w:vAlign w:val="center"/>
          </w:tcPr>
          <w:p>
            <w:pPr>
              <w:jc w:val="center"/>
            </w:pPr>
            <w:r>
              <w:rPr>
                <w:rFonts w:hint="eastAsia"/>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9" w:hRule="atLeast"/>
          <w:jc w:val="center"/>
        </w:trPr>
        <w:tc>
          <w:tcPr>
            <w:tcW w:w="9740" w:type="dxa"/>
            <w:gridSpan w:val="4"/>
            <w:tcBorders>
              <w:tl2br w:val="nil"/>
              <w:tr2bl w:val="nil"/>
            </w:tcBorders>
            <w:shd w:val="clear" w:color="auto" w:fill="C6D9F1"/>
            <w:tcMar>
              <w:left w:w="57" w:type="dxa"/>
              <w:right w:w="57" w:type="dxa"/>
            </w:tcMar>
            <w:vAlign w:val="center"/>
          </w:tcPr>
          <w:p>
            <w:r>
              <w:rPr>
                <w:rFonts w:hint="eastAsia"/>
                <w:lang w:val="en-US" w:eastAsia="zh-CN"/>
              </w:rPr>
              <w:t>第二十条第（五）项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auto"/>
          <w:tblCellMar>
            <w:top w:w="0" w:type="dxa"/>
            <w:left w:w="0" w:type="dxa"/>
            <w:bottom w:w="0" w:type="dxa"/>
            <w:right w:w="0" w:type="dxa"/>
          </w:tblCellMar>
        </w:tblPrEx>
        <w:trPr>
          <w:trHeight w:val="579" w:hRule="atLeast"/>
          <w:jc w:val="center"/>
        </w:trPr>
        <w:tc>
          <w:tcPr>
            <w:tcW w:w="2435" w:type="dxa"/>
            <w:tcBorders>
              <w:tl2br w:val="nil"/>
              <w:tr2bl w:val="nil"/>
            </w:tcBorders>
            <w:shd w:val="clear" w:color="auto" w:fill="auto"/>
            <w:tcMar>
              <w:left w:w="57" w:type="dxa"/>
              <w:right w:w="57" w:type="dxa"/>
            </w:tcMar>
            <w:vAlign w:val="center"/>
          </w:tcPr>
          <w:p>
            <w:r>
              <w:rPr>
                <w:rFonts w:hint="eastAsia"/>
                <w:lang w:val="en-US" w:eastAsia="zh-CN"/>
              </w:rPr>
              <w:t>信息内容</w:t>
            </w:r>
          </w:p>
        </w:tc>
        <w:tc>
          <w:tcPr>
            <w:tcW w:w="7305" w:type="dxa"/>
            <w:gridSpan w:val="3"/>
            <w:tcBorders>
              <w:tl2br w:val="nil"/>
              <w:tr2bl w:val="nil"/>
            </w:tcBorders>
            <w:shd w:val="clear" w:color="auto" w:fill="auto"/>
            <w:tcMar>
              <w:left w:w="57" w:type="dxa"/>
              <w:right w:w="57" w:type="dxa"/>
            </w:tcMar>
            <w:vAlign w:val="center"/>
          </w:tcPr>
          <w:p>
            <w:r>
              <w:rPr>
                <w:rFonts w:hint="eastAsia"/>
                <w:lang w:val="en-US" w:eastAsia="zh-CN"/>
              </w:rPr>
              <w:t>本年处理决定数量</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9" w:hRule="atLeast"/>
          <w:jc w:val="center"/>
        </w:trPr>
        <w:tc>
          <w:tcPr>
            <w:tcW w:w="2435" w:type="dxa"/>
            <w:tcBorders>
              <w:tl2br w:val="nil"/>
              <w:tr2bl w:val="nil"/>
            </w:tcBorders>
            <w:shd w:val="clear" w:color="auto" w:fill="auto"/>
            <w:tcMar>
              <w:left w:w="57" w:type="dxa"/>
              <w:right w:w="57" w:type="dxa"/>
            </w:tcMar>
            <w:vAlign w:val="center"/>
          </w:tcPr>
          <w:p>
            <w:r>
              <w:rPr>
                <w:rFonts w:hint="eastAsia"/>
                <w:lang w:val="en-US" w:eastAsia="zh-CN"/>
              </w:rPr>
              <w:t>行政许可</w:t>
            </w:r>
          </w:p>
        </w:tc>
        <w:tc>
          <w:tcPr>
            <w:tcW w:w="7305" w:type="dxa"/>
            <w:gridSpan w:val="3"/>
            <w:tcBorders>
              <w:tl2br w:val="nil"/>
              <w:tr2bl w:val="nil"/>
            </w:tcBorders>
            <w:shd w:val="clear" w:color="auto" w:fill="auto"/>
            <w:tcMar>
              <w:left w:w="57" w:type="dxa"/>
              <w:right w:w="57" w:type="dxa"/>
            </w:tcMar>
            <w:vAlign w:val="center"/>
          </w:tcPr>
          <w:p>
            <w:pPr>
              <w:jc w:val="center"/>
            </w:pPr>
            <w:r>
              <w:rPr>
                <w:rFonts w:hint="eastAsia"/>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9" w:hRule="atLeast"/>
          <w:jc w:val="center"/>
        </w:trPr>
        <w:tc>
          <w:tcPr>
            <w:tcW w:w="9740" w:type="dxa"/>
            <w:gridSpan w:val="4"/>
            <w:tcBorders>
              <w:tl2br w:val="nil"/>
              <w:tr2bl w:val="nil"/>
            </w:tcBorders>
            <w:shd w:val="clear" w:color="auto" w:fill="C6D9F1"/>
            <w:tcMar>
              <w:left w:w="57" w:type="dxa"/>
              <w:right w:w="57" w:type="dxa"/>
            </w:tcMar>
            <w:vAlign w:val="center"/>
          </w:tcPr>
          <w:p>
            <w:r>
              <w:rPr>
                <w:rFonts w:hint="eastAsia"/>
                <w:lang w:val="en-US" w:eastAsia="zh-CN"/>
              </w:rPr>
              <w:t>第二十条第（六）项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9" w:hRule="atLeast"/>
          <w:jc w:val="center"/>
        </w:trPr>
        <w:tc>
          <w:tcPr>
            <w:tcW w:w="2435" w:type="dxa"/>
            <w:tcBorders>
              <w:tl2br w:val="nil"/>
              <w:tr2bl w:val="nil"/>
            </w:tcBorders>
            <w:shd w:val="clear" w:color="auto" w:fill="auto"/>
            <w:tcMar>
              <w:left w:w="57" w:type="dxa"/>
              <w:right w:w="57" w:type="dxa"/>
            </w:tcMar>
            <w:vAlign w:val="center"/>
          </w:tcPr>
          <w:p>
            <w:r>
              <w:rPr>
                <w:rFonts w:hint="eastAsia"/>
                <w:lang w:val="en-US" w:eastAsia="zh-CN"/>
              </w:rPr>
              <w:t>信息内容</w:t>
            </w:r>
          </w:p>
        </w:tc>
        <w:tc>
          <w:tcPr>
            <w:tcW w:w="7305" w:type="dxa"/>
            <w:gridSpan w:val="3"/>
            <w:tcBorders>
              <w:tl2br w:val="nil"/>
              <w:tr2bl w:val="nil"/>
            </w:tcBorders>
            <w:shd w:val="clear" w:color="auto" w:fill="auto"/>
            <w:tcMar>
              <w:left w:w="57" w:type="dxa"/>
              <w:right w:w="57" w:type="dxa"/>
            </w:tcMar>
            <w:vAlign w:val="center"/>
          </w:tcPr>
          <w:p>
            <w:r>
              <w:rPr>
                <w:rFonts w:hint="eastAsia"/>
                <w:lang w:val="en-US" w:eastAsia="zh-CN"/>
              </w:rPr>
              <w:t>本年处理决定数量</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9" w:hRule="atLeast"/>
          <w:jc w:val="center"/>
        </w:trPr>
        <w:tc>
          <w:tcPr>
            <w:tcW w:w="2435" w:type="dxa"/>
            <w:tcBorders>
              <w:tl2br w:val="nil"/>
              <w:tr2bl w:val="nil"/>
            </w:tcBorders>
            <w:shd w:val="clear" w:color="auto" w:fill="auto"/>
            <w:tcMar>
              <w:left w:w="57" w:type="dxa"/>
              <w:right w:w="57" w:type="dxa"/>
            </w:tcMar>
            <w:vAlign w:val="center"/>
          </w:tcPr>
          <w:p>
            <w:r>
              <w:rPr>
                <w:rFonts w:hint="eastAsia"/>
                <w:lang w:val="en-US" w:eastAsia="zh-CN"/>
              </w:rPr>
              <w:t>行政处罚</w:t>
            </w:r>
          </w:p>
        </w:tc>
        <w:tc>
          <w:tcPr>
            <w:tcW w:w="7305" w:type="dxa"/>
            <w:gridSpan w:val="3"/>
            <w:tcBorders>
              <w:tl2br w:val="nil"/>
              <w:tr2bl w:val="nil"/>
            </w:tcBorders>
            <w:shd w:val="clear" w:color="auto" w:fill="auto"/>
            <w:tcMar>
              <w:left w:w="57" w:type="dxa"/>
              <w:right w:w="57" w:type="dxa"/>
            </w:tcMar>
            <w:vAlign w:val="center"/>
          </w:tcPr>
          <w:p>
            <w:pPr>
              <w:jc w:val="center"/>
            </w:pPr>
            <w:r>
              <w:rPr>
                <w:rFonts w:hint="eastAsia"/>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9" w:hRule="atLeast"/>
          <w:jc w:val="center"/>
        </w:trPr>
        <w:tc>
          <w:tcPr>
            <w:tcW w:w="2435" w:type="dxa"/>
            <w:tcBorders>
              <w:tl2br w:val="nil"/>
              <w:tr2bl w:val="nil"/>
            </w:tcBorders>
            <w:shd w:val="clear" w:color="auto" w:fill="auto"/>
            <w:tcMar>
              <w:left w:w="57" w:type="dxa"/>
              <w:right w:w="57" w:type="dxa"/>
            </w:tcMar>
            <w:vAlign w:val="center"/>
          </w:tcPr>
          <w:p>
            <w:r>
              <w:rPr>
                <w:rFonts w:hint="eastAsia"/>
                <w:lang w:val="en-US" w:eastAsia="zh-CN"/>
              </w:rPr>
              <w:t>行政强制</w:t>
            </w:r>
          </w:p>
        </w:tc>
        <w:tc>
          <w:tcPr>
            <w:tcW w:w="7305" w:type="dxa"/>
            <w:gridSpan w:val="3"/>
            <w:tcBorders>
              <w:tl2br w:val="nil"/>
              <w:tr2bl w:val="nil"/>
            </w:tcBorders>
            <w:shd w:val="clear" w:color="auto" w:fill="auto"/>
            <w:tcMar>
              <w:left w:w="57" w:type="dxa"/>
              <w:right w:w="57" w:type="dxa"/>
            </w:tcMar>
            <w:vAlign w:val="center"/>
          </w:tcPr>
          <w:p>
            <w:pPr>
              <w:jc w:val="center"/>
            </w:pPr>
            <w:r>
              <w:rPr>
                <w:rFonts w:hint="eastAsia"/>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9" w:hRule="atLeast"/>
          <w:jc w:val="center"/>
        </w:trPr>
        <w:tc>
          <w:tcPr>
            <w:tcW w:w="9740" w:type="dxa"/>
            <w:gridSpan w:val="4"/>
            <w:tcBorders>
              <w:tl2br w:val="nil"/>
              <w:tr2bl w:val="nil"/>
            </w:tcBorders>
            <w:shd w:val="clear" w:color="auto" w:fill="C6D9F1"/>
            <w:tcMar>
              <w:left w:w="57" w:type="dxa"/>
              <w:right w:w="57" w:type="dxa"/>
            </w:tcMar>
            <w:vAlign w:val="center"/>
          </w:tcPr>
          <w:p>
            <w:r>
              <w:rPr>
                <w:rFonts w:hint="eastAsia"/>
                <w:lang w:val="en-US" w:eastAsia="zh-CN"/>
              </w:rPr>
              <w:t>第二十条第（八）项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9" w:hRule="atLeast"/>
          <w:jc w:val="center"/>
        </w:trPr>
        <w:tc>
          <w:tcPr>
            <w:tcW w:w="2435" w:type="dxa"/>
            <w:tcBorders>
              <w:tl2br w:val="nil"/>
              <w:tr2bl w:val="nil"/>
            </w:tcBorders>
            <w:shd w:val="clear" w:color="auto" w:fill="auto"/>
            <w:tcMar>
              <w:left w:w="57" w:type="dxa"/>
              <w:right w:w="57" w:type="dxa"/>
            </w:tcMar>
            <w:vAlign w:val="center"/>
          </w:tcPr>
          <w:p>
            <w:r>
              <w:rPr>
                <w:rFonts w:hint="eastAsia"/>
                <w:lang w:val="en-US" w:eastAsia="zh-CN"/>
              </w:rPr>
              <w:t>信息内容</w:t>
            </w:r>
          </w:p>
        </w:tc>
        <w:tc>
          <w:tcPr>
            <w:tcW w:w="7305" w:type="dxa"/>
            <w:gridSpan w:val="3"/>
            <w:tcBorders>
              <w:tl2br w:val="nil"/>
              <w:tr2bl w:val="nil"/>
            </w:tcBorders>
            <w:shd w:val="clear" w:color="auto" w:fill="auto"/>
            <w:tcMar>
              <w:left w:w="57" w:type="dxa"/>
              <w:right w:w="57" w:type="dxa"/>
            </w:tcMar>
            <w:vAlign w:val="center"/>
          </w:tcPr>
          <w:p>
            <w:r>
              <w:rPr>
                <w:rFonts w:hint="eastAsia"/>
                <w:lang w:val="en-US" w:eastAsia="zh-CN"/>
              </w:rPr>
              <w:t>本年收费金额（单位：万元）</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14" w:hRule="atLeast"/>
          <w:jc w:val="center"/>
        </w:trPr>
        <w:tc>
          <w:tcPr>
            <w:tcW w:w="2435" w:type="dxa"/>
            <w:tcBorders>
              <w:tl2br w:val="nil"/>
              <w:tr2bl w:val="nil"/>
            </w:tcBorders>
            <w:shd w:val="clear" w:color="auto" w:fill="auto"/>
            <w:tcMar>
              <w:left w:w="57" w:type="dxa"/>
              <w:right w:w="57" w:type="dxa"/>
            </w:tcMar>
            <w:vAlign w:val="center"/>
          </w:tcPr>
          <w:p>
            <w:r>
              <w:rPr>
                <w:rFonts w:hint="eastAsia"/>
                <w:lang w:val="en-US" w:eastAsia="zh-CN"/>
              </w:rPr>
              <w:t>行政事业性收费</w:t>
            </w:r>
          </w:p>
        </w:tc>
        <w:tc>
          <w:tcPr>
            <w:tcW w:w="7305" w:type="dxa"/>
            <w:gridSpan w:val="3"/>
            <w:tcBorders>
              <w:tl2br w:val="nil"/>
              <w:tr2bl w:val="nil"/>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r>
    </w:tbl>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三、收到和处理政府信息公开申请情况</w:t>
      </w:r>
    </w:p>
    <w:p>
      <w:pPr>
        <w:rPr>
          <w:rFonts w:hint="eastAsia"/>
        </w:rPr>
      </w:pP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768"/>
        <w:gridCol w:w="945"/>
        <w:gridCol w:w="3217"/>
        <w:gridCol w:w="688"/>
        <w:gridCol w:w="688"/>
        <w:gridCol w:w="688"/>
        <w:gridCol w:w="688"/>
        <w:gridCol w:w="688"/>
        <w:gridCol w:w="689"/>
        <w:gridCol w:w="68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515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r>
              <w:rPr>
                <w:rFonts w:hint="eastAsia"/>
                <w:lang w:val="en-US" w:eastAsia="zh-CN"/>
              </w:rPr>
              <w:t>（本列数据的勾稽关系为：第一项加第二项之和，等于第三项加第四项之和）</w:t>
            </w:r>
          </w:p>
        </w:tc>
        <w:tc>
          <w:tcPr>
            <w:tcW w:w="499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r>
              <w:rPr>
                <w:rFonts w:hint="eastAsia"/>
                <w:lang w:val="en-US" w:eastAsia="zh-CN"/>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515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rPr>
                <w:rFonts w:hint="eastAsia"/>
              </w:rPr>
            </w:pPr>
          </w:p>
        </w:tc>
        <w:tc>
          <w:tcPr>
            <w:tcW w:w="714"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r>
              <w:rPr>
                <w:rFonts w:hint="eastAsia"/>
                <w:lang w:val="en-US" w:eastAsia="zh-CN"/>
              </w:rPr>
              <w:t>自然人</w:t>
            </w:r>
          </w:p>
        </w:tc>
        <w:tc>
          <w:tcPr>
            <w:tcW w:w="3570"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r>
              <w:rPr>
                <w:rFonts w:hint="eastAsia"/>
                <w:lang w:val="en-US" w:eastAsia="zh-CN"/>
              </w:rPr>
              <w:t>法人或其他组织</w:t>
            </w:r>
          </w:p>
        </w:tc>
        <w:tc>
          <w:tcPr>
            <w:tcW w:w="714"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r>
              <w:rPr>
                <w:rFonts w:hint="eastAsia"/>
                <w:lang w:val="en-US" w:eastAsia="zh-CN"/>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515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rPr>
                <w:rFonts w:hint="eastAsia"/>
              </w:rPr>
            </w:pPr>
          </w:p>
        </w:tc>
        <w:tc>
          <w:tcPr>
            <w:tcW w:w="714"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rPr>
                <w:rFonts w:hint="eastAsia"/>
              </w:rPr>
            </w:pP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r>
              <w:rPr>
                <w:rFonts w:hint="eastAsia"/>
                <w:lang w:val="en-US" w:eastAsia="zh-CN"/>
              </w:rPr>
              <w:t>商业</w:t>
            </w:r>
          </w:p>
          <w:p>
            <w:r>
              <w:rPr>
                <w:rFonts w:hint="eastAsia"/>
                <w:lang w:val="en-US" w:eastAsia="zh-CN"/>
              </w:rPr>
              <w:t>企业</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r>
              <w:rPr>
                <w:rFonts w:hint="eastAsia"/>
                <w:lang w:val="en-US" w:eastAsia="zh-CN"/>
              </w:rPr>
              <w:t>科研</w:t>
            </w:r>
          </w:p>
          <w:p>
            <w:r>
              <w:rPr>
                <w:rFonts w:hint="eastAsia"/>
                <w:lang w:val="en-US" w:eastAsia="zh-CN"/>
              </w:rPr>
              <w:t>机构</w:t>
            </w:r>
          </w:p>
        </w:tc>
        <w:tc>
          <w:tcPr>
            <w:tcW w:w="714"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r>
              <w:rPr>
                <w:rFonts w:hint="eastAsia"/>
                <w:lang w:val="en-US" w:eastAsia="zh-CN"/>
              </w:rPr>
              <w:t>社会公益组织</w:t>
            </w:r>
          </w:p>
        </w:tc>
        <w:tc>
          <w:tcPr>
            <w:tcW w:w="714"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r>
              <w:rPr>
                <w:rFonts w:hint="eastAsia"/>
                <w:lang w:val="en-US" w:eastAsia="zh-CN"/>
              </w:rPr>
              <w:t>法律服务机构</w:t>
            </w:r>
          </w:p>
        </w:tc>
        <w:tc>
          <w:tcPr>
            <w:tcW w:w="714"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r>
              <w:rPr>
                <w:rFonts w:hint="eastAsia"/>
                <w:lang w:val="en-US" w:eastAsia="zh-CN"/>
              </w:rPr>
              <w:t>其他</w:t>
            </w:r>
          </w:p>
        </w:tc>
        <w:tc>
          <w:tcPr>
            <w:tcW w:w="714"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rPr>
                <w:rFonts w:hint="eastAsia"/>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PrEx>
        <w:trPr>
          <w:jc w:val="center"/>
        </w:trPr>
        <w:tc>
          <w:tcPr>
            <w:tcW w:w="515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r>
              <w:rPr>
                <w:rFonts w:hint="eastAsia"/>
                <w:lang w:val="en-US" w:eastAsia="zh-CN"/>
              </w:rPr>
              <w:t>一、本年新收政府信息公开申请数量</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515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r>
              <w:rPr>
                <w:rFonts w:hint="eastAsia"/>
                <w:lang w:val="en-US" w:eastAsia="zh-CN"/>
              </w:rPr>
              <w:t>二、上年结转政府信息公开申请数量</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5"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r>
              <w:rPr>
                <w:rFonts w:hint="eastAsia"/>
                <w:lang w:val="en-US" w:eastAsia="zh-CN"/>
              </w:rPr>
              <w:t>三、本年度办理结果</w:t>
            </w:r>
          </w:p>
        </w:tc>
        <w:tc>
          <w:tcPr>
            <w:tcW w:w="4365"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r>
              <w:rPr>
                <w:rFonts w:hint="eastAsia"/>
                <w:lang w:val="en-US" w:eastAsia="zh-CN"/>
              </w:rPr>
              <w:t>（一）予以公开</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pPr>
            <w:r>
              <w:rPr>
                <w:rFonts w:hint="eastAsia"/>
                <w:lang w:val="en-US" w:eastAsia="zh-CN"/>
              </w:rPr>
              <w:t>0</w:t>
            </w:r>
          </w:p>
        </w:tc>
        <w:tc>
          <w:tcPr>
            <w:tcW w:w="714"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4365"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r>
              <w:rPr>
                <w:rFonts w:hint="eastAsia"/>
                <w:lang w:val="en-US" w:eastAsia="zh-CN"/>
              </w:rPr>
              <w:t>（二）部分公开（区分处理的，只计这一情形，不计其他情形）</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959"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r>
              <w:rPr>
                <w:rFonts w:hint="eastAsia"/>
                <w:lang w:val="en-US" w:eastAsia="zh-CN"/>
              </w:rPr>
              <w:t>（三）不予公开</w:t>
            </w:r>
          </w:p>
        </w:tc>
        <w:tc>
          <w:tcPr>
            <w:tcW w:w="3406" w:type="dxa"/>
            <w:tcBorders>
              <w:top w:val="nil"/>
              <w:left w:val="nil"/>
              <w:bottom w:val="single" w:color="auto" w:sz="8" w:space="0"/>
              <w:right w:val="single" w:color="auto" w:sz="8" w:space="0"/>
            </w:tcBorders>
            <w:shd w:val="clear" w:color="auto" w:fill="auto"/>
            <w:tcMar>
              <w:left w:w="57" w:type="dxa"/>
              <w:right w:w="57" w:type="dxa"/>
            </w:tcMar>
            <w:vAlign w:val="top"/>
          </w:tcPr>
          <w:p>
            <w:r>
              <w:rPr>
                <w:rFonts w:hint="eastAsia"/>
                <w:lang w:val="en-US" w:eastAsia="zh-CN"/>
              </w:rPr>
              <w:t>1.属于国家秘密</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959"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3406" w:type="dxa"/>
            <w:tcBorders>
              <w:top w:val="nil"/>
              <w:left w:val="nil"/>
              <w:bottom w:val="single" w:color="auto" w:sz="8" w:space="0"/>
              <w:right w:val="single" w:color="auto" w:sz="8" w:space="0"/>
            </w:tcBorders>
            <w:shd w:val="clear" w:color="auto" w:fill="auto"/>
            <w:tcMar>
              <w:left w:w="57" w:type="dxa"/>
              <w:right w:w="57" w:type="dxa"/>
            </w:tcMar>
            <w:vAlign w:val="top"/>
          </w:tcPr>
          <w:p>
            <w:r>
              <w:rPr>
                <w:rFonts w:hint="eastAsia"/>
                <w:lang w:val="en-US" w:eastAsia="zh-CN"/>
              </w:rPr>
              <w:t>2.其他法律行政法规禁止公开</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959"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3406" w:type="dxa"/>
            <w:tcBorders>
              <w:top w:val="nil"/>
              <w:left w:val="nil"/>
              <w:bottom w:val="single" w:color="auto" w:sz="8" w:space="0"/>
              <w:right w:val="single" w:color="auto" w:sz="8" w:space="0"/>
            </w:tcBorders>
            <w:shd w:val="clear" w:color="auto" w:fill="auto"/>
            <w:tcMar>
              <w:left w:w="57" w:type="dxa"/>
              <w:right w:w="57" w:type="dxa"/>
            </w:tcMar>
            <w:vAlign w:val="top"/>
          </w:tcPr>
          <w:p>
            <w:r>
              <w:rPr>
                <w:rFonts w:hint="eastAsia"/>
                <w:lang w:val="en-US" w:eastAsia="zh-CN"/>
              </w:rPr>
              <w:t>3.危及“三安全一稳定”</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959"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3406" w:type="dxa"/>
            <w:tcBorders>
              <w:top w:val="nil"/>
              <w:left w:val="nil"/>
              <w:bottom w:val="single" w:color="auto" w:sz="8" w:space="0"/>
              <w:right w:val="single" w:color="auto" w:sz="8" w:space="0"/>
            </w:tcBorders>
            <w:shd w:val="clear" w:color="auto" w:fill="auto"/>
            <w:tcMar>
              <w:left w:w="57" w:type="dxa"/>
              <w:right w:w="57" w:type="dxa"/>
            </w:tcMar>
            <w:vAlign w:val="top"/>
          </w:tcPr>
          <w:p>
            <w:r>
              <w:rPr>
                <w:rFonts w:hint="eastAsia"/>
                <w:lang w:val="en-US" w:eastAsia="zh-CN"/>
              </w:rPr>
              <w:t>4.保护第三方合法权益</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959"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3406" w:type="dxa"/>
            <w:tcBorders>
              <w:top w:val="nil"/>
              <w:left w:val="nil"/>
              <w:bottom w:val="single" w:color="auto" w:sz="8" w:space="0"/>
              <w:right w:val="single" w:color="auto" w:sz="8" w:space="0"/>
            </w:tcBorders>
            <w:shd w:val="clear" w:color="auto" w:fill="auto"/>
            <w:tcMar>
              <w:left w:w="57" w:type="dxa"/>
              <w:right w:w="57" w:type="dxa"/>
            </w:tcMar>
            <w:vAlign w:val="top"/>
          </w:tcPr>
          <w:p>
            <w:r>
              <w:rPr>
                <w:rFonts w:hint="eastAsia"/>
                <w:lang w:val="en-US" w:eastAsia="zh-CN"/>
              </w:rPr>
              <w:t>5.属于三类内部事务信息</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959"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3406" w:type="dxa"/>
            <w:tcBorders>
              <w:top w:val="nil"/>
              <w:left w:val="nil"/>
              <w:bottom w:val="single" w:color="auto" w:sz="8" w:space="0"/>
              <w:right w:val="single" w:color="auto" w:sz="8" w:space="0"/>
            </w:tcBorders>
            <w:shd w:val="clear" w:color="auto" w:fill="auto"/>
            <w:tcMar>
              <w:left w:w="57" w:type="dxa"/>
              <w:right w:w="57" w:type="dxa"/>
            </w:tcMar>
            <w:vAlign w:val="top"/>
          </w:tcPr>
          <w:p>
            <w:r>
              <w:rPr>
                <w:rFonts w:hint="eastAsia"/>
                <w:lang w:val="en-US" w:eastAsia="zh-CN"/>
              </w:rPr>
              <w:t>6.属于四类过程性信息</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959"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3406" w:type="dxa"/>
            <w:tcBorders>
              <w:top w:val="nil"/>
              <w:left w:val="nil"/>
              <w:bottom w:val="single" w:color="auto" w:sz="8" w:space="0"/>
              <w:right w:val="single" w:color="auto" w:sz="8" w:space="0"/>
            </w:tcBorders>
            <w:shd w:val="clear" w:color="auto" w:fill="auto"/>
            <w:tcMar>
              <w:left w:w="57" w:type="dxa"/>
              <w:right w:w="57" w:type="dxa"/>
            </w:tcMar>
            <w:vAlign w:val="top"/>
          </w:tcPr>
          <w:p>
            <w:r>
              <w:rPr>
                <w:rFonts w:hint="eastAsia"/>
                <w:lang w:val="en-US" w:eastAsia="zh-CN"/>
              </w:rPr>
              <w:t>7.属于行政执法案卷</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959"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3406" w:type="dxa"/>
            <w:tcBorders>
              <w:top w:val="nil"/>
              <w:left w:val="nil"/>
              <w:bottom w:val="single" w:color="auto" w:sz="8" w:space="0"/>
              <w:right w:val="single" w:color="auto" w:sz="8" w:space="0"/>
            </w:tcBorders>
            <w:shd w:val="clear" w:color="auto" w:fill="auto"/>
            <w:tcMar>
              <w:left w:w="57" w:type="dxa"/>
              <w:right w:w="57" w:type="dxa"/>
            </w:tcMar>
            <w:vAlign w:val="top"/>
          </w:tcPr>
          <w:p>
            <w:r>
              <w:rPr>
                <w:rFonts w:hint="eastAsia"/>
                <w:lang w:val="en-US" w:eastAsia="zh-CN"/>
              </w:rPr>
              <w:t>8.属于行政查询事项</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959"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r>
              <w:rPr>
                <w:rFonts w:hint="eastAsia"/>
                <w:lang w:val="en-US" w:eastAsia="zh-CN"/>
              </w:rPr>
              <w:t>（四）无法提供</w:t>
            </w:r>
          </w:p>
        </w:tc>
        <w:tc>
          <w:tcPr>
            <w:tcW w:w="3406" w:type="dxa"/>
            <w:tcBorders>
              <w:top w:val="nil"/>
              <w:left w:val="nil"/>
              <w:bottom w:val="single" w:color="auto" w:sz="8" w:space="0"/>
              <w:right w:val="single" w:color="auto" w:sz="8" w:space="0"/>
            </w:tcBorders>
            <w:shd w:val="clear" w:color="auto" w:fill="auto"/>
            <w:tcMar>
              <w:left w:w="57" w:type="dxa"/>
              <w:right w:w="57" w:type="dxa"/>
            </w:tcMar>
            <w:vAlign w:val="top"/>
          </w:tcPr>
          <w:p>
            <w:r>
              <w:rPr>
                <w:rFonts w:hint="eastAsia"/>
                <w:lang w:val="en-US" w:eastAsia="zh-CN"/>
              </w:rPr>
              <w:t>1.本机关不掌握相关政府信息</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default"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959"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3406" w:type="dxa"/>
            <w:tcBorders>
              <w:top w:val="nil"/>
              <w:left w:val="nil"/>
              <w:bottom w:val="single" w:color="auto" w:sz="8" w:space="0"/>
              <w:right w:val="single" w:color="auto" w:sz="8" w:space="0"/>
            </w:tcBorders>
            <w:shd w:val="clear" w:color="auto" w:fill="auto"/>
            <w:tcMar>
              <w:left w:w="57" w:type="dxa"/>
              <w:right w:w="57" w:type="dxa"/>
            </w:tcMar>
            <w:vAlign w:val="top"/>
          </w:tcPr>
          <w:p>
            <w:r>
              <w:rPr>
                <w:rFonts w:hint="eastAsia"/>
                <w:lang w:val="en-US" w:eastAsia="zh-CN"/>
              </w:rPr>
              <w:t>2.没有现成信息需要另行制作</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959"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3406" w:type="dxa"/>
            <w:tcBorders>
              <w:top w:val="nil"/>
              <w:left w:val="nil"/>
              <w:bottom w:val="single" w:color="auto" w:sz="8" w:space="0"/>
              <w:right w:val="single" w:color="auto" w:sz="8" w:space="0"/>
            </w:tcBorders>
            <w:shd w:val="clear" w:color="auto" w:fill="auto"/>
            <w:tcMar>
              <w:left w:w="57" w:type="dxa"/>
              <w:right w:w="57" w:type="dxa"/>
            </w:tcMar>
            <w:vAlign w:val="top"/>
          </w:tcPr>
          <w:p>
            <w:r>
              <w:rPr>
                <w:rFonts w:hint="eastAsia"/>
                <w:lang w:val="en-US" w:eastAsia="zh-CN"/>
              </w:rPr>
              <w:t>3.补正后申请内容仍不明确</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default"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959"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r>
              <w:rPr>
                <w:rFonts w:hint="eastAsia"/>
                <w:lang w:val="en-US" w:eastAsia="zh-CN"/>
              </w:rPr>
              <w:t>（五）不予处理</w:t>
            </w:r>
          </w:p>
        </w:tc>
        <w:tc>
          <w:tcPr>
            <w:tcW w:w="3406" w:type="dxa"/>
            <w:tcBorders>
              <w:top w:val="nil"/>
              <w:left w:val="nil"/>
              <w:bottom w:val="single" w:color="auto" w:sz="8" w:space="0"/>
              <w:right w:val="single" w:color="auto" w:sz="8" w:space="0"/>
            </w:tcBorders>
            <w:shd w:val="clear" w:color="auto" w:fill="auto"/>
            <w:tcMar>
              <w:left w:w="57" w:type="dxa"/>
              <w:right w:w="57" w:type="dxa"/>
            </w:tcMar>
            <w:vAlign w:val="top"/>
          </w:tcPr>
          <w:p>
            <w:r>
              <w:rPr>
                <w:rFonts w:hint="eastAsia"/>
                <w:lang w:val="en-US" w:eastAsia="zh-CN"/>
              </w:rPr>
              <w:t>1.信访举报投诉类申请</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959"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3406" w:type="dxa"/>
            <w:tcBorders>
              <w:top w:val="nil"/>
              <w:left w:val="nil"/>
              <w:bottom w:val="single" w:color="auto" w:sz="8" w:space="0"/>
              <w:right w:val="single" w:color="auto" w:sz="8" w:space="0"/>
            </w:tcBorders>
            <w:shd w:val="clear" w:color="auto" w:fill="auto"/>
            <w:tcMar>
              <w:left w:w="57" w:type="dxa"/>
              <w:right w:w="57" w:type="dxa"/>
            </w:tcMar>
            <w:vAlign w:val="top"/>
          </w:tcPr>
          <w:p>
            <w:r>
              <w:rPr>
                <w:rFonts w:hint="eastAsia"/>
                <w:lang w:val="en-US" w:eastAsia="zh-CN"/>
              </w:rPr>
              <w:t>2.重复申请</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959"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3406" w:type="dxa"/>
            <w:tcBorders>
              <w:top w:val="nil"/>
              <w:left w:val="nil"/>
              <w:bottom w:val="single" w:color="auto" w:sz="8" w:space="0"/>
              <w:right w:val="single" w:color="auto" w:sz="8" w:space="0"/>
            </w:tcBorders>
            <w:shd w:val="clear" w:color="auto" w:fill="auto"/>
            <w:tcMar>
              <w:left w:w="57" w:type="dxa"/>
              <w:right w:w="57" w:type="dxa"/>
            </w:tcMar>
            <w:vAlign w:val="top"/>
          </w:tcPr>
          <w:p>
            <w:r>
              <w:rPr>
                <w:rFonts w:hint="eastAsia"/>
                <w:lang w:val="en-US" w:eastAsia="zh-CN"/>
              </w:rPr>
              <w:t>3.要求提供公开出版物</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959"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3406" w:type="dxa"/>
            <w:tcBorders>
              <w:top w:val="nil"/>
              <w:left w:val="nil"/>
              <w:bottom w:val="single" w:color="auto" w:sz="8" w:space="0"/>
              <w:right w:val="single" w:color="auto" w:sz="8" w:space="0"/>
            </w:tcBorders>
            <w:shd w:val="clear" w:color="auto" w:fill="auto"/>
            <w:tcMar>
              <w:left w:w="57" w:type="dxa"/>
              <w:right w:w="57" w:type="dxa"/>
            </w:tcMar>
            <w:vAlign w:val="top"/>
          </w:tcPr>
          <w:p>
            <w:r>
              <w:rPr>
                <w:rFonts w:hint="eastAsia"/>
                <w:lang w:val="en-US" w:eastAsia="zh-CN"/>
              </w:rPr>
              <w:t>4.无正当理由大量反复申请</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779" w:hRule="atLeast"/>
          <w:jc w:val="center"/>
        </w:trPr>
        <w:tc>
          <w:tcPr>
            <w:tcW w:w="785"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959"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3406" w:type="dxa"/>
            <w:tcBorders>
              <w:top w:val="nil"/>
              <w:left w:val="nil"/>
              <w:bottom w:val="outset" w:color="auto" w:sz="8" w:space="0"/>
              <w:right w:val="single" w:color="auto" w:sz="8" w:space="0"/>
            </w:tcBorders>
            <w:shd w:val="clear" w:color="auto" w:fill="auto"/>
            <w:tcMar>
              <w:left w:w="57" w:type="dxa"/>
              <w:right w:w="57" w:type="dxa"/>
            </w:tcMar>
            <w:vAlign w:val="center"/>
          </w:tcPr>
          <w:p>
            <w:r>
              <w:rPr>
                <w:rFonts w:hint="eastAsia"/>
                <w:lang w:val="en-US" w:eastAsia="zh-CN"/>
              </w:rPr>
              <w:t>5.要求行政机关确认或重新出具已获取信息</w:t>
            </w:r>
          </w:p>
        </w:tc>
        <w:tc>
          <w:tcPr>
            <w:tcW w:w="714" w:type="dxa"/>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outset" w:color="auto" w:sz="8" w:space="0"/>
              <w:right w:val="single" w:color="auto" w:sz="8" w:space="0"/>
            </w:tcBorders>
            <w:shd w:val="clear" w:color="auto" w:fill="auto"/>
            <w:tcMar>
              <w:left w:w="57" w:type="dxa"/>
              <w:right w:w="57" w:type="dxa"/>
            </w:tcMar>
            <w:vAlign w:val="center"/>
          </w:tcPr>
          <w:p>
            <w:pPr>
              <w:jc w:val="center"/>
            </w:pPr>
            <w:r>
              <w:rPr>
                <w:rFonts w:hint="eastAsia"/>
                <w:lang w:val="en-US" w:eastAsia="zh-CN"/>
              </w:rPr>
              <w:t>0</w:t>
            </w:r>
          </w:p>
        </w:tc>
        <w:tc>
          <w:tcPr>
            <w:tcW w:w="714" w:type="dxa"/>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959" w:type="dxa"/>
            <w:vMerge w:val="restart"/>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r>
              <w:rPr>
                <w:rFonts w:hint="eastAsia"/>
                <w:lang w:val="en-US" w:eastAsia="zh-CN"/>
              </w:rPr>
              <w:t>（六）其他处理</w:t>
            </w:r>
          </w:p>
        </w:tc>
        <w:tc>
          <w:tcPr>
            <w:tcW w:w="3406" w:type="dxa"/>
            <w:tcBorders>
              <w:top w:val="nil"/>
              <w:left w:val="nil"/>
              <w:bottom w:val="single" w:color="auto" w:sz="8" w:space="0"/>
              <w:right w:val="single" w:color="auto" w:sz="8" w:space="0"/>
            </w:tcBorders>
            <w:shd w:val="clear" w:color="auto" w:fill="auto"/>
            <w:tcMar>
              <w:left w:w="57" w:type="dxa"/>
              <w:right w:w="57" w:type="dxa"/>
            </w:tcMar>
            <w:vAlign w:val="center"/>
          </w:tcPr>
          <w:p>
            <w:r>
              <w:rPr>
                <w:rFonts w:hint="eastAsia"/>
                <w:lang w:val="en-US" w:eastAsia="zh-CN"/>
              </w:rPr>
              <w:t>1.申请人无正当理由逾期不补正、行政机关不再处理其政府信息公开申请</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959" w:type="dxa"/>
            <w:vMerge w:val="continue"/>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3406" w:type="dxa"/>
            <w:tcBorders>
              <w:top w:val="nil"/>
              <w:left w:val="nil"/>
              <w:bottom w:val="single" w:color="auto" w:sz="8" w:space="0"/>
              <w:right w:val="single" w:color="auto" w:sz="8" w:space="0"/>
            </w:tcBorders>
            <w:shd w:val="clear" w:color="auto" w:fill="auto"/>
            <w:tcMar>
              <w:left w:w="57" w:type="dxa"/>
              <w:right w:w="57" w:type="dxa"/>
            </w:tcMar>
            <w:vAlign w:val="center"/>
          </w:tcPr>
          <w:p>
            <w:r>
              <w:rPr>
                <w:rFonts w:hint="eastAsia"/>
                <w:lang w:val="en-US" w:eastAsia="zh-CN"/>
              </w:rPr>
              <w:t>2.申请人逾期未按收费通知要求缴纳费用、行政机关不再处理其政府信息公开申请</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959" w:type="dxa"/>
            <w:vMerge w:val="continue"/>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3406" w:type="dxa"/>
            <w:tcBorders>
              <w:top w:val="nil"/>
              <w:left w:val="nil"/>
              <w:bottom w:val="single" w:color="auto" w:sz="8" w:space="0"/>
              <w:right w:val="single" w:color="auto" w:sz="8" w:space="0"/>
            </w:tcBorders>
            <w:shd w:val="clear" w:color="auto" w:fill="auto"/>
            <w:tcMar>
              <w:left w:w="57" w:type="dxa"/>
              <w:right w:w="57" w:type="dxa"/>
            </w:tcMar>
            <w:vAlign w:val="center"/>
          </w:tcPr>
          <w:p>
            <w:r>
              <w:rPr>
                <w:rFonts w:hint="eastAsia"/>
                <w:lang w:val="en-US" w:eastAsia="zh-CN"/>
              </w:rPr>
              <w:t>3.其他</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rPr>
            </w:pPr>
          </w:p>
        </w:tc>
        <w:tc>
          <w:tcPr>
            <w:tcW w:w="4365"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r>
              <w:rPr>
                <w:rFonts w:hint="eastAsia"/>
                <w:lang w:val="en-US" w:eastAsia="zh-CN"/>
              </w:rPr>
              <w:t>（七）总计</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515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r>
              <w:rPr>
                <w:rFonts w:hint="eastAsia"/>
                <w:lang w:val="en-US" w:eastAsia="zh-CN"/>
              </w:rPr>
              <w:t>四、结转下年度继续办理</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rPr>
            </w:pPr>
            <w:r>
              <w:rPr>
                <w:rFonts w:hint="eastAsia"/>
                <w:lang w:val="en-US" w:eastAsia="zh-CN"/>
              </w:rPr>
              <w:t>0</w:t>
            </w:r>
          </w:p>
        </w:tc>
      </w:tr>
    </w:tbl>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6"/>
          <w:szCs w:val="36"/>
        </w:rPr>
      </w:pPr>
      <w:r>
        <w:rPr>
          <w:rFonts w:hint="eastAsia" w:ascii="黑体" w:hAnsi="黑体" w:eastAsia="黑体"/>
          <w:sz w:val="32"/>
          <w:szCs w:val="32"/>
        </w:rPr>
        <w:t>四、政府信息公开行政复议、行政诉讼情况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r>
              <w:rPr>
                <w:rFonts w:hint="eastAsia"/>
                <w:lang w:val="en-US" w:eastAsia="zh-CN"/>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r>
              <w:rPr>
                <w:rFonts w:hint="eastAsia"/>
                <w:lang w:val="en-US" w:eastAsia="zh-CN"/>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r>
              <w:rPr>
                <w:rFonts w:hint="eastAsia"/>
                <w:lang w:val="en-US" w:eastAsia="zh-CN"/>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lang w:val="en-US" w:eastAsia="zh-CN"/>
              </w:rPr>
            </w:pPr>
            <w:r>
              <w:rPr>
                <w:rFonts w:hint="eastAsia"/>
                <w:lang w:val="en-US" w:eastAsia="zh-CN"/>
              </w:rPr>
              <w:t>结果</w:t>
            </w:r>
          </w:p>
          <w:p>
            <w:r>
              <w:rPr>
                <w:rFonts w:hint="eastAsia"/>
                <w:lang w:val="en-US" w:eastAsia="zh-CN"/>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lang w:val="en-US" w:eastAsia="zh-CN"/>
              </w:rPr>
            </w:pPr>
            <w:r>
              <w:rPr>
                <w:rFonts w:hint="eastAsia"/>
                <w:lang w:val="en-US" w:eastAsia="zh-CN"/>
              </w:rPr>
              <w:t>其他</w:t>
            </w:r>
          </w:p>
          <w:p>
            <w:r>
              <w:rPr>
                <w:rFonts w:hint="eastAsia"/>
                <w:lang w:val="en-US" w:eastAsia="zh-CN"/>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lang w:val="en-US" w:eastAsia="zh-CN"/>
              </w:rPr>
            </w:pPr>
            <w:r>
              <w:rPr>
                <w:rFonts w:hint="eastAsia"/>
                <w:lang w:val="en-US" w:eastAsia="zh-CN"/>
              </w:rPr>
              <w:t>尚未</w:t>
            </w:r>
          </w:p>
          <w:p>
            <w:r>
              <w:rPr>
                <w:rFonts w:hint="eastAsia"/>
                <w:lang w:val="en-US" w:eastAsia="zh-CN"/>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r>
              <w:rPr>
                <w:rFonts w:hint="eastAsia"/>
                <w:lang w:val="en-US" w:eastAsia="zh-CN"/>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r>
              <w:rPr>
                <w:rFonts w:hint="eastAsia"/>
                <w:lang w:val="en-US" w:eastAsia="zh-CN"/>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r>
              <w:rPr>
                <w:rFonts w:hint="eastAsia"/>
                <w:lang w:val="en-US" w:eastAsia="zh-CN"/>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lang w:val="en-US" w:eastAsia="zh-CN"/>
              </w:rPr>
            </w:pPr>
            <w:r>
              <w:rPr>
                <w:rFonts w:hint="eastAsia"/>
                <w:lang w:val="en-US" w:eastAsia="zh-CN"/>
              </w:rPr>
              <w:t>结果</w:t>
            </w:r>
          </w:p>
          <w:p>
            <w:r>
              <w:rPr>
                <w:rFonts w:hint="eastAsia"/>
                <w:lang w:val="en-US" w:eastAsia="zh-CN"/>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lang w:val="en-US" w:eastAsia="zh-CN"/>
              </w:rPr>
            </w:pPr>
            <w:r>
              <w:rPr>
                <w:rFonts w:hint="eastAsia"/>
                <w:lang w:val="en-US" w:eastAsia="zh-CN"/>
              </w:rPr>
              <w:t>结果</w:t>
            </w:r>
          </w:p>
          <w:p>
            <w:r>
              <w:rPr>
                <w:rFonts w:hint="eastAsia"/>
                <w:lang w:val="en-US" w:eastAsia="zh-CN"/>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lang w:val="en-US" w:eastAsia="zh-CN"/>
              </w:rPr>
            </w:pPr>
            <w:r>
              <w:rPr>
                <w:rFonts w:hint="eastAsia"/>
                <w:lang w:val="en-US" w:eastAsia="zh-CN"/>
              </w:rPr>
              <w:t>其他</w:t>
            </w:r>
          </w:p>
          <w:p>
            <w:r>
              <w:rPr>
                <w:rFonts w:hint="eastAsia"/>
                <w:lang w:val="en-US" w:eastAsia="zh-CN"/>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lang w:val="en-US" w:eastAsia="zh-CN"/>
              </w:rPr>
            </w:pPr>
            <w:r>
              <w:rPr>
                <w:rFonts w:hint="eastAsia"/>
                <w:lang w:val="en-US" w:eastAsia="zh-CN"/>
              </w:rPr>
              <w:t>尚未</w:t>
            </w:r>
          </w:p>
          <w:p>
            <w:r>
              <w:rPr>
                <w:rFonts w:hint="eastAsia"/>
                <w:lang w:val="en-US" w:eastAsia="zh-CN"/>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r>
              <w:rPr>
                <w:rFonts w:hint="eastAsia"/>
                <w:lang w:val="en-US" w:eastAsia="zh-CN"/>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lang w:val="en-US" w:eastAsia="zh-CN"/>
              </w:rPr>
            </w:pPr>
            <w:r>
              <w:rPr>
                <w:rFonts w:hint="eastAsia"/>
                <w:lang w:val="en-US" w:eastAsia="zh-CN"/>
              </w:rPr>
              <w:t>结果</w:t>
            </w:r>
          </w:p>
          <w:p>
            <w:r>
              <w:rPr>
                <w:rFonts w:hint="eastAsia"/>
                <w:lang w:val="en-US" w:eastAsia="zh-CN"/>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lang w:val="en-US" w:eastAsia="zh-CN"/>
              </w:rPr>
            </w:pPr>
            <w:r>
              <w:rPr>
                <w:rFonts w:hint="eastAsia"/>
                <w:lang w:val="en-US" w:eastAsia="zh-CN"/>
              </w:rPr>
              <w:t>结果</w:t>
            </w:r>
          </w:p>
          <w:p>
            <w:r>
              <w:rPr>
                <w:rFonts w:hint="eastAsia"/>
                <w:lang w:val="en-US" w:eastAsia="zh-CN"/>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lang w:val="en-US" w:eastAsia="zh-CN"/>
              </w:rPr>
            </w:pPr>
            <w:r>
              <w:rPr>
                <w:rFonts w:hint="eastAsia"/>
                <w:lang w:val="en-US" w:eastAsia="zh-CN"/>
              </w:rPr>
              <w:t>其他</w:t>
            </w:r>
          </w:p>
          <w:p>
            <w:r>
              <w:rPr>
                <w:rFonts w:hint="eastAsia"/>
                <w:lang w:val="en-US" w:eastAsia="zh-CN"/>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lang w:val="en-US" w:eastAsia="zh-CN"/>
              </w:rPr>
            </w:pPr>
            <w:r>
              <w:rPr>
                <w:rFonts w:hint="eastAsia"/>
                <w:lang w:val="en-US" w:eastAsia="zh-CN"/>
              </w:rPr>
              <w:t>尚未</w:t>
            </w:r>
          </w:p>
          <w:p>
            <w:r>
              <w:rPr>
                <w:rFonts w:hint="eastAsia"/>
                <w:lang w:val="en-US" w:eastAsia="zh-CN"/>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r>
              <w:rPr>
                <w:rFonts w:hint="eastAsia"/>
                <w:lang w:val="en-US" w:eastAsia="zh-CN"/>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default"/>
                <w:lang w:val="en-US"/>
              </w:rPr>
            </w:pPr>
            <w:r>
              <w:rPr>
                <w:rFonts w:hint="eastAsia"/>
                <w:lang w:val="en-US" w:eastAsia="zh-CN"/>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eastAsia" w:eastAsiaTheme="minorEastAsia"/>
                <w:lang w:val="en-US" w:eastAsia="zh-CN"/>
              </w:rPr>
            </w:pPr>
            <w:r>
              <w:rPr>
                <w:rFonts w:hint="eastAsia"/>
                <w:lang w:val="en-US" w:eastAsia="zh-CN"/>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eastAsia" w:eastAsiaTheme="minorEastAsia"/>
                <w:lang w:val="en-US" w:eastAsia="zh-CN"/>
              </w:rPr>
            </w:pPr>
            <w:r>
              <w:rPr>
                <w:rFonts w:hint="eastAsia"/>
                <w:lang w:val="en-US" w:eastAsia="zh-CN"/>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eastAsia" w:eastAsiaTheme="minorEastAsia"/>
                <w:lang w:val="en-US" w:eastAsia="zh-CN"/>
              </w:rPr>
            </w:pPr>
            <w:r>
              <w:rPr>
                <w:rFonts w:hint="eastAsia"/>
                <w:lang w:val="en-US" w:eastAsia="zh-CN"/>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eastAsia" w:eastAsiaTheme="minorEastAsia"/>
                <w:lang w:val="en-US" w:eastAsia="zh-CN"/>
              </w:rPr>
            </w:pPr>
            <w:r>
              <w:rPr>
                <w:rFonts w:hint="eastAsia"/>
                <w:lang w:val="en-US" w:eastAsia="zh-CN"/>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eastAsia" w:eastAsiaTheme="minorEastAsia"/>
                <w:lang w:val="en-US" w:eastAsia="zh-CN"/>
              </w:rPr>
            </w:pPr>
            <w:r>
              <w:rPr>
                <w:rFonts w:hint="eastAsia"/>
                <w:lang w:val="en-US" w:eastAsia="zh-CN"/>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eastAsia" w:eastAsiaTheme="minorEastAsia"/>
                <w:lang w:val="en-US" w:eastAsia="zh-CN"/>
              </w:rPr>
            </w:pPr>
            <w:r>
              <w:rPr>
                <w:rFonts w:hint="eastAsia"/>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eastAsia" w:eastAsiaTheme="minorEastAsia"/>
                <w:lang w:val="en-US" w:eastAsia="zh-CN"/>
              </w:rPr>
            </w:pPr>
            <w:r>
              <w:rPr>
                <w:rFonts w:hint="eastAsia"/>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eastAsia" w:eastAsiaTheme="minorEastAsia"/>
                <w:lang w:val="en-US" w:eastAsia="zh-CN"/>
              </w:rPr>
            </w:pPr>
            <w:r>
              <w:rPr>
                <w:rFonts w:hint="eastAsia"/>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eastAsia" w:eastAsiaTheme="minorEastAsia"/>
                <w:lang w:val="en-US" w:eastAsia="zh-CN"/>
              </w:rPr>
            </w:pPr>
            <w:r>
              <w:rPr>
                <w:rFonts w:hint="eastAsia"/>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eastAsia" w:eastAsiaTheme="minorEastAsia"/>
                <w:lang w:val="en-US" w:eastAsia="zh-CN"/>
              </w:rPr>
            </w:pPr>
            <w:r>
              <w:rPr>
                <w:rFonts w:hint="eastAsia"/>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eastAsia" w:eastAsiaTheme="minorEastAsia"/>
                <w:lang w:val="en-US" w:eastAsia="zh-CN"/>
              </w:rPr>
            </w:pPr>
            <w:r>
              <w:rPr>
                <w:rFonts w:hint="eastAsia"/>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eastAsia" w:eastAsiaTheme="minorEastAsia"/>
                <w:lang w:val="en-US" w:eastAsia="zh-CN"/>
              </w:rPr>
            </w:pPr>
            <w:r>
              <w:rPr>
                <w:rFonts w:hint="eastAsia"/>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eastAsia" w:eastAsiaTheme="minorEastAsia"/>
                <w:lang w:val="en-US" w:eastAsia="zh-CN"/>
              </w:rPr>
            </w:pPr>
            <w:r>
              <w:rPr>
                <w:rFonts w:hint="eastAsia"/>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eastAsia" w:eastAsiaTheme="minorEastAsia"/>
                <w:lang w:val="en-US" w:eastAsia="zh-CN"/>
              </w:rPr>
            </w:pPr>
            <w:r>
              <w:rPr>
                <w:rFonts w:hint="eastAsia"/>
                <w:lang w:val="en-US" w:eastAsia="zh-CN"/>
              </w:rPr>
              <w:t>0</w:t>
            </w:r>
          </w:p>
        </w:tc>
      </w:tr>
    </w:tbl>
    <w:p/>
    <w:p>
      <w:pPr>
        <w:adjustRightInd w:val="0"/>
        <w:snapToGrid w:val="0"/>
        <w:spacing w:line="580" w:lineRule="exact"/>
        <w:ind w:firstLine="640" w:firstLineChars="200"/>
        <w:rPr>
          <w:rFonts w:hint="eastAsia" w:ascii="黑体" w:hAnsi="黑体" w:eastAsia="黑体"/>
          <w:sz w:val="32"/>
          <w:szCs w:val="32"/>
        </w:rPr>
      </w:pPr>
      <w:r>
        <w:rPr>
          <w:rFonts w:hint="eastAsia" w:ascii="黑体" w:hAnsi="黑体" w:eastAsia="黑体"/>
          <w:sz w:val="32"/>
          <w:szCs w:val="32"/>
        </w:rPr>
        <w:t>五、存在的主要问题及改进情况</w:t>
      </w:r>
    </w:p>
    <w:p>
      <w:pPr>
        <w:keepNext w:val="0"/>
        <w:keepLines w:val="0"/>
        <w:widowControl/>
        <w:suppressLineNumbers w:val="0"/>
        <w:ind w:firstLine="630" w:firstLineChars="200"/>
        <w:jc w:val="left"/>
      </w:pPr>
      <w:r>
        <w:rPr>
          <w:rFonts w:hint="eastAsia" w:ascii="仿宋_GB2312" w:hAnsi="宋体" w:eastAsia="仿宋_GB2312" w:cs="仿宋_GB2312"/>
          <w:i w:val="0"/>
          <w:iCs w:val="0"/>
          <w:caps w:val="0"/>
          <w:color w:val="000000"/>
          <w:spacing w:val="0"/>
          <w:kern w:val="0"/>
          <w:sz w:val="31"/>
          <w:szCs w:val="31"/>
          <w:bdr w:val="none" w:color="auto" w:sz="0" w:space="0"/>
          <w:shd w:val="clear" w:fill="FFFFFF"/>
          <w:lang w:val="en-US" w:eastAsia="zh-CN" w:bidi="ar"/>
        </w:rPr>
        <w:t>2024年，我局政府信息公开工作取得新的进展，但仍存在</w:t>
      </w:r>
      <w:r>
        <w:rPr>
          <w:rFonts w:hint="eastAsia" w:ascii="仿宋_GB2312" w:hAnsi="仿宋_GB2312" w:eastAsia="仿宋_GB2312" w:cs="仿宋_GB2312"/>
          <w:color w:val="000000"/>
          <w:kern w:val="0"/>
          <w:sz w:val="32"/>
          <w:szCs w:val="32"/>
          <w:lang w:eastAsia="zh-CN"/>
        </w:rPr>
        <w:t>主动公开的内容还不够丰富、信息公开的内容和渠道还需进一步拓展完善</w:t>
      </w:r>
      <w:r>
        <w:rPr>
          <w:rFonts w:hint="eastAsia" w:ascii="仿宋_GB2312" w:hAnsi="宋体" w:eastAsia="仿宋_GB2312" w:cs="仿宋_GB2312"/>
          <w:i w:val="0"/>
          <w:iCs w:val="0"/>
          <w:caps w:val="0"/>
          <w:color w:val="000000"/>
          <w:spacing w:val="0"/>
          <w:kern w:val="0"/>
          <w:sz w:val="31"/>
          <w:szCs w:val="31"/>
          <w:bdr w:val="none" w:color="auto" w:sz="0" w:space="0"/>
          <w:shd w:val="clear" w:fill="FFFFFF"/>
          <w:lang w:val="en-US" w:eastAsia="zh-CN" w:bidi="ar"/>
        </w:rPr>
        <w:t>等情况。下一步，我局将</w:t>
      </w:r>
      <w:r>
        <w:rPr>
          <w:rFonts w:hint="eastAsia" w:ascii="仿宋_GB2312" w:hAnsi="仿宋_GB2312" w:eastAsia="仿宋_GB2312" w:cs="仿宋_GB2312"/>
          <w:color w:val="000000"/>
          <w:kern w:val="0"/>
          <w:sz w:val="32"/>
          <w:szCs w:val="32"/>
        </w:rPr>
        <w:t>进一步</w:t>
      </w:r>
      <w:r>
        <w:rPr>
          <w:rFonts w:hint="eastAsia" w:ascii="仿宋_GB2312" w:hAnsi="仿宋_GB2312" w:eastAsia="仿宋_GB2312" w:cs="仿宋_GB2312"/>
          <w:color w:val="000000"/>
          <w:kern w:val="0"/>
          <w:sz w:val="32"/>
          <w:szCs w:val="32"/>
          <w:lang w:eastAsia="zh-CN"/>
        </w:rPr>
        <w:t>丰富主动公开内容，</w:t>
      </w:r>
      <w:r>
        <w:rPr>
          <w:rFonts w:hint="eastAsia" w:ascii="仿宋_GB2312" w:hAnsi="仿宋_GB2312" w:eastAsia="仿宋_GB2312" w:cs="仿宋_GB2312"/>
          <w:color w:val="000000"/>
          <w:kern w:val="0"/>
          <w:sz w:val="32"/>
          <w:szCs w:val="32"/>
          <w:lang w:val="en-US" w:eastAsia="zh-CN"/>
        </w:rPr>
        <w:t>及时主动公开各类应公开的信息，深化</w:t>
      </w:r>
      <w:r>
        <w:rPr>
          <w:rFonts w:hint="eastAsia" w:ascii="仿宋_GB2312" w:hAnsi="仿宋_GB2312" w:eastAsia="仿宋_GB2312" w:cs="仿宋_GB2312"/>
          <w:color w:val="000000"/>
          <w:kern w:val="0"/>
          <w:sz w:val="32"/>
          <w:szCs w:val="32"/>
          <w:lang w:eastAsia="zh-CN"/>
        </w:rPr>
        <w:t>拓展信息公开渠道，创新政策解读解读方式</w:t>
      </w:r>
      <w:r>
        <w:rPr>
          <w:rFonts w:hint="eastAsia" w:ascii="仿宋_GB2312" w:hAnsi="仿宋_GB2312" w:eastAsia="仿宋_GB2312" w:cs="仿宋_GB2312"/>
          <w:color w:val="000000"/>
          <w:kern w:val="0"/>
          <w:sz w:val="32"/>
          <w:szCs w:val="32"/>
        </w:rPr>
        <w:t>。</w:t>
      </w:r>
    </w:p>
    <w:p>
      <w:pPr>
        <w:adjustRightInd w:val="0"/>
        <w:snapToGrid w:val="0"/>
        <w:spacing w:line="580" w:lineRule="exact"/>
        <w:ind w:firstLine="640" w:firstLineChars="200"/>
        <w:rPr>
          <w:rFonts w:hint="eastAsia" w:ascii="黑体" w:hAnsi="黑体" w:eastAsia="黑体"/>
          <w:sz w:val="32"/>
          <w:szCs w:val="32"/>
        </w:rPr>
      </w:pPr>
      <w:r>
        <w:rPr>
          <w:rFonts w:hint="eastAsia" w:ascii="黑体" w:hAnsi="黑体" w:eastAsia="黑体"/>
          <w:sz w:val="32"/>
          <w:szCs w:val="32"/>
        </w:rPr>
        <w:t>六、其他需要报告的事项</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本年度未收取政府信息公开申请信息处理收费。</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本报告中所列数据统计时间为202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年1月1日至202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年12月31日。报告电子版可在乐山市人民政府网站、</w:t>
      </w:r>
      <w:r>
        <w:rPr>
          <w:rFonts w:hint="eastAsia" w:ascii="仿宋_GB2312" w:hAnsi="仿宋_GB2312" w:eastAsia="仿宋_GB2312" w:cs="仿宋_GB2312"/>
          <w:sz w:val="32"/>
          <w:szCs w:val="32"/>
          <w:lang w:val="en-US" w:eastAsia="zh-CN"/>
        </w:rPr>
        <w:t>乐山市机关事务管理局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网址为：https://jgsw.leshan.gov.cn/</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下载。如对本年度报告有任何疑问，请与</w:t>
      </w:r>
      <w:r>
        <w:rPr>
          <w:rFonts w:hint="eastAsia" w:ascii="仿宋_GB2312" w:hAnsi="仿宋_GB2312" w:eastAsia="仿宋_GB2312" w:cs="仿宋_GB2312"/>
          <w:sz w:val="32"/>
          <w:szCs w:val="32"/>
          <w:lang w:val="en-US" w:eastAsia="zh-CN"/>
        </w:rPr>
        <w:t>乐山市机关事务管理局</w:t>
      </w:r>
      <w:r>
        <w:rPr>
          <w:rFonts w:hint="eastAsia" w:ascii="仿宋_GB2312" w:hAnsi="仿宋_GB2312" w:eastAsia="仿宋_GB2312" w:cs="仿宋_GB2312"/>
          <w:sz w:val="32"/>
          <w:szCs w:val="32"/>
        </w:rPr>
        <w:t>联系（通讯地址：乐山市市中区</w:t>
      </w:r>
      <w:r>
        <w:rPr>
          <w:rFonts w:hint="eastAsia" w:ascii="仿宋_GB2312" w:hAnsi="仿宋_GB2312" w:eastAsia="仿宋_GB2312" w:cs="仿宋_GB2312"/>
          <w:sz w:val="32"/>
          <w:szCs w:val="32"/>
          <w:lang w:val="en-US" w:eastAsia="zh-CN"/>
        </w:rPr>
        <w:t>柏杨东路199号</w:t>
      </w:r>
      <w:r>
        <w:rPr>
          <w:rFonts w:hint="eastAsia" w:ascii="仿宋_GB2312" w:hAnsi="仿宋_GB2312" w:eastAsia="仿宋_GB2312" w:cs="仿宋_GB2312"/>
          <w:sz w:val="32"/>
          <w:szCs w:val="32"/>
        </w:rPr>
        <w:t>，邮编:614000，联系电话：0833—</w:t>
      </w:r>
      <w:r>
        <w:rPr>
          <w:rFonts w:hint="eastAsia" w:ascii="仿宋_GB2312" w:hAnsi="仿宋_GB2312" w:eastAsia="仿宋_GB2312" w:cs="仿宋_GB2312"/>
          <w:sz w:val="32"/>
          <w:szCs w:val="32"/>
          <w:lang w:val="en-US" w:eastAsia="zh-CN"/>
        </w:rPr>
        <w:t>2425793</w:t>
      </w:r>
      <w:r>
        <w:rPr>
          <w:rFonts w:hint="eastAsia" w:ascii="仿宋_GB2312" w:hAnsi="仿宋_GB2312" w:eastAsia="仿宋_GB2312" w:cs="仿宋_GB2312"/>
          <w:sz w:val="32"/>
          <w:szCs w:val="32"/>
        </w:rPr>
        <w:t>）。</w:t>
      </w:r>
    </w:p>
    <w:sectPr>
      <w:footerReference r:id="rId5" w:type="first"/>
      <w:footerReference r:id="rId3" w:type="default"/>
      <w:footerReference r:id="rId4" w:type="even"/>
      <w:pgSz w:w="11906" w:h="16838"/>
      <w:pgMar w:top="2041" w:right="1469" w:bottom="1587" w:left="1469" w:header="851" w:footer="1247" w:gutter="0"/>
      <w:pgBorders>
        <w:top w:val="none" w:sz="0" w:space="0"/>
        <w:left w:val="none" w:sz="0" w:space="0"/>
        <w:bottom w:val="none" w:sz="0" w:space="0"/>
        <w:right w:val="none" w:sz="0" w:space="0"/>
      </w:pgBorders>
      <w:pgNumType w:fmt="decimal"/>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auto"/>
    <w:pitch w:val="default"/>
    <w:sig w:usb0="00000001" w:usb1="0800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val="en-US" w:eastAsia="zh-CN"/>
      </w:rPr>
      <w:t xml:space="preserve"> —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280" w:firstLineChars="100"/>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val="en-US" w:eastAsia="zh-CN"/>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val="en-US" w:eastAsia="zh-CN"/>
      </w:rPr>
      <w:t xml:space="preserve"> —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evenAndOddHeaders w:val="1"/>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1F3B6E"/>
    <w:rsid w:val="049E96EE"/>
    <w:rsid w:val="07BE0503"/>
    <w:rsid w:val="07FE28C4"/>
    <w:rsid w:val="2ED056B9"/>
    <w:rsid w:val="385A3B30"/>
    <w:rsid w:val="457F5C7F"/>
    <w:rsid w:val="46B255A5"/>
    <w:rsid w:val="48154F30"/>
    <w:rsid w:val="52FA2655"/>
    <w:rsid w:val="54BDD63E"/>
    <w:rsid w:val="5BC3024B"/>
    <w:rsid w:val="5BF35BB8"/>
    <w:rsid w:val="5BFFB9E2"/>
    <w:rsid w:val="5FD79910"/>
    <w:rsid w:val="5FFC6659"/>
    <w:rsid w:val="61380F9A"/>
    <w:rsid w:val="6142075D"/>
    <w:rsid w:val="67EFBAE7"/>
    <w:rsid w:val="6EFE2D3E"/>
    <w:rsid w:val="6EFFA89F"/>
    <w:rsid w:val="6FA61DDB"/>
    <w:rsid w:val="6FB57280"/>
    <w:rsid w:val="700A4CD7"/>
    <w:rsid w:val="75BBD30B"/>
    <w:rsid w:val="75F9A8A5"/>
    <w:rsid w:val="77BA871D"/>
    <w:rsid w:val="79045028"/>
    <w:rsid w:val="7FFFA862"/>
    <w:rsid w:val="AFFEDD0D"/>
    <w:rsid w:val="B07B488D"/>
    <w:rsid w:val="B3B94FA7"/>
    <w:rsid w:val="BDEF5FBF"/>
    <w:rsid w:val="CAAC3BE9"/>
    <w:rsid w:val="CC79C23A"/>
    <w:rsid w:val="DBFF0FF9"/>
    <w:rsid w:val="E9FBF26B"/>
    <w:rsid w:val="F3FCFD2A"/>
    <w:rsid w:val="F3FE983C"/>
    <w:rsid w:val="F76FD83B"/>
    <w:rsid w:val="F97F04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Emphasis"/>
    <w:basedOn w:val="6"/>
    <w:qFormat/>
    <w:uiPriority w:val="0"/>
    <w:rPr>
      <w:i/>
    </w:rPr>
  </w:style>
  <w:style w:type="paragraph" w:customStyle="1" w:styleId="8">
    <w:name w:val="Salutation"/>
    <w:basedOn w:val="1"/>
    <w:next w:val="1"/>
    <w:qFormat/>
    <w:uiPriority w:val="0"/>
    <w:rPr>
      <w:rFonts w:ascii="Times New Roman" w:hAnsi="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27</TotalTime>
  <ScaleCrop>false</ScaleCrop>
  <LinksUpToDate>false</LinksUpToDate>
  <CharactersWithSpaces>0</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2021-10-05T18:34:00Z</dcterms:created>
  <dc:creator>Administrator</dc:creator>
  <cp:lastModifiedBy>王三翔</cp:lastModifiedBy>
  <cp:lastPrinted>2025-01-09T07:15:00Z</cp:lastPrinted>
  <dcterms:modified xsi:type="dcterms:W3CDTF">2025-01-16T17:14:57Z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5387FA5C04DB45BB9BFB1B6500A2486B</vt:lpwstr>
  </property>
</Properties>
</file>